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1A7B60" w14:textId="77777777" w:rsidR="00B46E28" w:rsidRDefault="00B46E28" w:rsidP="00B46E28">
      <w:pPr>
        <w:spacing w:after="120"/>
        <w:jc w:val="center"/>
        <w:rPr>
          <w:b/>
          <w:sz w:val="36"/>
          <w:szCs w:val="36"/>
        </w:rPr>
      </w:pPr>
    </w:p>
    <w:p w14:paraId="20FC0CD4" w14:textId="0F4A3783" w:rsidR="00524866" w:rsidRDefault="00F46398" w:rsidP="00FF57C5">
      <w:pPr>
        <w:spacing w:after="120"/>
        <w:jc w:val="center"/>
      </w:pPr>
      <w:r>
        <w:rPr>
          <w:b/>
          <w:sz w:val="36"/>
          <w:szCs w:val="36"/>
        </w:rPr>
        <w:t xml:space="preserve">Introducing the </w:t>
      </w:r>
      <w:r w:rsidR="00E56E45">
        <w:rPr>
          <w:b/>
          <w:sz w:val="36"/>
          <w:szCs w:val="36"/>
        </w:rPr>
        <w:t>Updated</w:t>
      </w:r>
      <w:r w:rsidR="00E56E45" w:rsidRPr="00DA15C0">
        <w:rPr>
          <w:b/>
          <w:sz w:val="36"/>
          <w:szCs w:val="36"/>
        </w:rPr>
        <w:t xml:space="preserve"> </w:t>
      </w:r>
      <w:proofErr w:type="spellStart"/>
      <w:r w:rsidR="00DA15C0" w:rsidRPr="00DA15C0">
        <w:rPr>
          <w:b/>
          <w:sz w:val="36"/>
          <w:szCs w:val="36"/>
        </w:rPr>
        <w:t>AgIncentives</w:t>
      </w:r>
      <w:proofErr w:type="spellEnd"/>
      <w:r w:rsidR="00DA15C0" w:rsidRPr="00DA15C0">
        <w:rPr>
          <w:b/>
          <w:sz w:val="36"/>
          <w:szCs w:val="36"/>
        </w:rPr>
        <w:t xml:space="preserve"> </w:t>
      </w:r>
      <w:r>
        <w:rPr>
          <w:b/>
          <w:sz w:val="36"/>
          <w:szCs w:val="36"/>
        </w:rPr>
        <w:t>Database</w:t>
      </w:r>
    </w:p>
    <w:p w14:paraId="0084EA86" w14:textId="77777777" w:rsidR="00524866" w:rsidRPr="00524866" w:rsidRDefault="00524866" w:rsidP="00524866">
      <w:pPr>
        <w:autoSpaceDE w:val="0"/>
        <w:autoSpaceDN w:val="0"/>
        <w:adjustRightInd w:val="0"/>
        <w:rPr>
          <w:lang w:eastAsia="en-GB"/>
        </w:rPr>
      </w:pPr>
    </w:p>
    <w:p w14:paraId="0625D16D" w14:textId="77777777" w:rsidR="00524866" w:rsidRDefault="00524866" w:rsidP="003D5A80">
      <w:pPr>
        <w:autoSpaceDE w:val="0"/>
        <w:autoSpaceDN w:val="0"/>
        <w:adjustRightInd w:val="0"/>
        <w:jc w:val="center"/>
        <w:rPr>
          <w:sz w:val="28"/>
          <w:szCs w:val="28"/>
          <w:lang w:eastAsia="en-GB"/>
        </w:rPr>
      </w:pPr>
    </w:p>
    <w:p w14:paraId="73E005A8" w14:textId="77777777" w:rsidR="004959F0" w:rsidRPr="003D5A80" w:rsidRDefault="004959F0" w:rsidP="003D5A80">
      <w:pPr>
        <w:autoSpaceDE w:val="0"/>
        <w:autoSpaceDN w:val="0"/>
        <w:adjustRightInd w:val="0"/>
        <w:jc w:val="center"/>
        <w:rPr>
          <w:lang w:eastAsia="en-GB"/>
        </w:rPr>
      </w:pPr>
      <w:r w:rsidRPr="003D5A80">
        <w:rPr>
          <w:lang w:eastAsia="en-GB"/>
        </w:rPr>
        <w:t>by</w:t>
      </w:r>
    </w:p>
    <w:p w14:paraId="7445F92B" w14:textId="77777777" w:rsidR="004959F0" w:rsidRPr="003D5A80" w:rsidRDefault="004959F0" w:rsidP="003D5A80">
      <w:pPr>
        <w:autoSpaceDE w:val="0"/>
        <w:autoSpaceDN w:val="0"/>
        <w:adjustRightInd w:val="0"/>
        <w:jc w:val="center"/>
        <w:rPr>
          <w:lang w:eastAsia="en-GB"/>
        </w:rPr>
      </w:pPr>
    </w:p>
    <w:p w14:paraId="3B74E03B" w14:textId="6C146EE0" w:rsidR="00FD2201" w:rsidRDefault="00DA15C0" w:rsidP="003D5A80">
      <w:pPr>
        <w:autoSpaceDE w:val="0"/>
        <w:autoSpaceDN w:val="0"/>
        <w:adjustRightInd w:val="0"/>
        <w:jc w:val="center"/>
      </w:pPr>
      <w:r w:rsidRPr="003D5A80">
        <w:t>David Laborde</w:t>
      </w:r>
      <w:r w:rsidR="004959F0" w:rsidRPr="003D5A80">
        <w:t xml:space="preserve">, Tess Lallemant, </w:t>
      </w:r>
      <w:r w:rsidRPr="003D5A80">
        <w:t>Fahd Majeed</w:t>
      </w:r>
      <w:r w:rsidR="00AE63B4">
        <w:t>, Abdullah Mamun</w:t>
      </w:r>
      <w:r w:rsidR="00927410">
        <w:t xml:space="preserve">, </w:t>
      </w:r>
      <w:r w:rsidR="004959F0" w:rsidRPr="003D5A80">
        <w:t>Will Martin</w:t>
      </w:r>
      <w:r w:rsidR="00927410">
        <w:t xml:space="preserve"> and Simla Tokgoz</w:t>
      </w:r>
      <w:r w:rsidR="00C661AA">
        <w:t>*</w:t>
      </w:r>
      <w:r w:rsidR="004959F0">
        <w:t xml:space="preserve"> </w:t>
      </w:r>
    </w:p>
    <w:p w14:paraId="7281EB90" w14:textId="77777777" w:rsidR="00927410" w:rsidRPr="008734D3" w:rsidRDefault="00927410" w:rsidP="003D5A80">
      <w:pPr>
        <w:autoSpaceDE w:val="0"/>
        <w:autoSpaceDN w:val="0"/>
        <w:adjustRightInd w:val="0"/>
        <w:jc w:val="center"/>
      </w:pPr>
    </w:p>
    <w:p w14:paraId="0DCB09C8" w14:textId="77777777" w:rsidR="00FD2201" w:rsidRDefault="00FD2201" w:rsidP="00FD2201">
      <w:pPr>
        <w:autoSpaceDE w:val="0"/>
        <w:autoSpaceDN w:val="0"/>
        <w:adjustRightInd w:val="0"/>
        <w:rPr>
          <w:sz w:val="28"/>
          <w:szCs w:val="28"/>
        </w:rPr>
      </w:pPr>
    </w:p>
    <w:p w14:paraId="41430909" w14:textId="77777777" w:rsidR="00FD2201" w:rsidRDefault="004959F0" w:rsidP="003D5A80">
      <w:pPr>
        <w:autoSpaceDE w:val="0"/>
        <w:autoSpaceDN w:val="0"/>
        <w:adjustRightInd w:val="0"/>
        <w:jc w:val="center"/>
      </w:pPr>
      <w:r>
        <w:t>International Food Policy Research Institute</w:t>
      </w:r>
    </w:p>
    <w:p w14:paraId="43BE6DC5" w14:textId="77777777" w:rsidR="004959F0" w:rsidRDefault="004959F0" w:rsidP="003D5A80">
      <w:pPr>
        <w:autoSpaceDE w:val="0"/>
        <w:autoSpaceDN w:val="0"/>
        <w:adjustRightInd w:val="0"/>
        <w:jc w:val="center"/>
      </w:pPr>
    </w:p>
    <w:p w14:paraId="7B85EDB0" w14:textId="77777777" w:rsidR="004959F0" w:rsidRDefault="004959F0" w:rsidP="003D5A80">
      <w:pPr>
        <w:autoSpaceDE w:val="0"/>
        <w:autoSpaceDN w:val="0"/>
        <w:adjustRightInd w:val="0"/>
        <w:jc w:val="center"/>
      </w:pPr>
      <w:r>
        <w:t>Washington DC</w:t>
      </w:r>
    </w:p>
    <w:p w14:paraId="5BFC71F2" w14:textId="77777777" w:rsidR="004959F0" w:rsidRDefault="004959F0" w:rsidP="003D5A80">
      <w:pPr>
        <w:autoSpaceDE w:val="0"/>
        <w:autoSpaceDN w:val="0"/>
        <w:adjustRightInd w:val="0"/>
        <w:jc w:val="center"/>
      </w:pPr>
    </w:p>
    <w:p w14:paraId="7EAC383D" w14:textId="00A028E3" w:rsidR="004959F0" w:rsidRDefault="00EB5617" w:rsidP="003D5A80">
      <w:pPr>
        <w:autoSpaceDE w:val="0"/>
        <w:autoSpaceDN w:val="0"/>
        <w:adjustRightInd w:val="0"/>
        <w:jc w:val="center"/>
      </w:pPr>
      <w:r>
        <w:t>1</w:t>
      </w:r>
      <w:r w:rsidR="00C86188">
        <w:t>6</w:t>
      </w:r>
      <w:r w:rsidR="00927410">
        <w:t xml:space="preserve"> </w:t>
      </w:r>
      <w:r w:rsidR="00AE63B4">
        <w:t>March 2023</w:t>
      </w:r>
    </w:p>
    <w:p w14:paraId="2FF66882" w14:textId="77777777" w:rsidR="004959F0" w:rsidRDefault="004959F0" w:rsidP="004D0A7C">
      <w:pPr>
        <w:rPr>
          <w:b/>
          <w:sz w:val="28"/>
          <w:szCs w:val="28"/>
        </w:rPr>
      </w:pPr>
    </w:p>
    <w:p w14:paraId="1B140FE1" w14:textId="77777777" w:rsidR="004D0A7C" w:rsidRPr="003D5A80" w:rsidRDefault="004959F0" w:rsidP="003D5A80">
      <w:pPr>
        <w:spacing w:after="120"/>
        <w:jc w:val="center"/>
        <w:rPr>
          <w:i/>
        </w:rPr>
      </w:pPr>
      <w:r w:rsidRPr="003D5A80">
        <w:rPr>
          <w:i/>
        </w:rPr>
        <w:t>Abstract</w:t>
      </w:r>
    </w:p>
    <w:p w14:paraId="6BB1FD9B" w14:textId="7602947C" w:rsidR="008A0A39" w:rsidRDefault="008A0A39" w:rsidP="008A0A39">
      <w:r>
        <w:t xml:space="preserve">Prior to the 1980s, information on agricultural incentives provided by governments was extremely limited and difficult to access. Much debate took place on the basis of </w:t>
      </w:r>
      <w:proofErr w:type="gramStart"/>
      <w:r>
        <w:t>participants’</w:t>
      </w:r>
      <w:proofErr w:type="gramEnd"/>
      <w:r>
        <w:t xml:space="preserve"> preferred alternative facts. </w:t>
      </w:r>
      <w:r w:rsidR="00F46398">
        <w:t xml:space="preserve">During the 1980s, the OECD began to collect detailed information on agricultural incentives in member countries, but data remained fragmentary for developing countries. The </w:t>
      </w:r>
      <w:r>
        <w:t>only close-to-global information on agricultural distortions was provided by a one-off study undertaken by Kym Anderson at the World Bank, completed in 2009. The objective of this initiative is to bring together information on agricultural incentives from five key institutions: FAO; the Inter-American Development Bank; IFPRI; the OECD</w:t>
      </w:r>
      <w:r w:rsidR="00665D8E">
        <w:t>,</w:t>
      </w:r>
      <w:r>
        <w:t xml:space="preserve"> and the World Bank. The resulting data are presented in a consistent format at </w:t>
      </w:r>
      <w:hyperlink r:id="rId8" w:history="1">
        <w:r w:rsidR="00AE63B4" w:rsidRPr="006622AD">
          <w:rPr>
            <w:rStyle w:val="Hyperlink"/>
          </w:rPr>
          <w:t>http://www.agincentives.org</w:t>
        </w:r>
      </w:hyperlink>
      <w:r>
        <w:t xml:space="preserve"> </w:t>
      </w:r>
      <w:r w:rsidR="00C661AA">
        <w:t>.</w:t>
      </w:r>
      <w:r>
        <w:t xml:space="preserve"> This </w:t>
      </w:r>
      <w:r w:rsidR="00FD2201">
        <w:t>paper</w:t>
      </w:r>
      <w:r>
        <w:t xml:space="preserve"> discuss</w:t>
      </w:r>
      <w:r w:rsidR="00AE63B4">
        <w:t>es</w:t>
      </w:r>
      <w:r>
        <w:t xml:space="preserve"> the methods used and the coverage of this database, and </w:t>
      </w:r>
      <w:r w:rsidR="00F46398">
        <w:t>its potential value</w:t>
      </w:r>
      <w:r>
        <w:t xml:space="preserve"> to economic modelers.</w:t>
      </w:r>
      <w:r w:rsidR="00AE63B4">
        <w:t xml:space="preserve"> </w:t>
      </w:r>
    </w:p>
    <w:p w14:paraId="265B1F77" w14:textId="77777777" w:rsidR="00454FE6" w:rsidRDefault="00453520" w:rsidP="008734D3">
      <w:pPr>
        <w:tabs>
          <w:tab w:val="left" w:pos="540"/>
        </w:tabs>
        <w:spacing w:after="120"/>
        <w:ind w:firstLine="567"/>
      </w:pPr>
      <w:r>
        <w:t xml:space="preserve"> </w:t>
      </w:r>
      <w:r w:rsidR="00FC7FD5">
        <w:t xml:space="preserve">   </w:t>
      </w:r>
    </w:p>
    <w:p w14:paraId="10D2F153" w14:textId="43EC50F5" w:rsidR="00AC34C6" w:rsidRDefault="004D0A7C" w:rsidP="00524866">
      <w:pPr>
        <w:spacing w:after="120"/>
      </w:pPr>
      <w:r w:rsidRPr="004D0A7C">
        <w:rPr>
          <w:b/>
        </w:rPr>
        <w:t>K</w:t>
      </w:r>
      <w:r w:rsidR="00524866" w:rsidRPr="004D0A7C">
        <w:rPr>
          <w:b/>
        </w:rPr>
        <w:t>eywords</w:t>
      </w:r>
      <w:r>
        <w:rPr>
          <w:b/>
        </w:rPr>
        <w:t xml:space="preserve">: </w:t>
      </w:r>
      <w:r w:rsidR="00C737DC">
        <w:t>A</w:t>
      </w:r>
      <w:r w:rsidR="00DA15C0" w:rsidRPr="00DA15C0">
        <w:t xml:space="preserve">gricultural </w:t>
      </w:r>
      <w:r w:rsidR="00C737DC">
        <w:t>I</w:t>
      </w:r>
      <w:r w:rsidR="00DA15C0" w:rsidRPr="00DA15C0">
        <w:t>ncentives, N</w:t>
      </w:r>
      <w:r w:rsidR="003F4638">
        <w:t xml:space="preserve">ominal </w:t>
      </w:r>
      <w:r w:rsidR="00DA15C0" w:rsidRPr="00DA15C0">
        <w:t>R</w:t>
      </w:r>
      <w:r w:rsidR="003F4638">
        <w:t xml:space="preserve">ate of </w:t>
      </w:r>
      <w:r w:rsidR="00DA15C0" w:rsidRPr="00DA15C0">
        <w:t>P</w:t>
      </w:r>
      <w:r w:rsidR="003F4638">
        <w:t>rotection</w:t>
      </w:r>
      <w:r w:rsidR="00DA15C0" w:rsidRPr="00DA15C0">
        <w:t>, N</w:t>
      </w:r>
      <w:r w:rsidR="003F4638">
        <w:t xml:space="preserve">ominal </w:t>
      </w:r>
      <w:r w:rsidR="00DA15C0" w:rsidRPr="00DA15C0">
        <w:t>R</w:t>
      </w:r>
      <w:r w:rsidR="003F4638">
        <w:t xml:space="preserve">ate of </w:t>
      </w:r>
      <w:r w:rsidR="00DA15C0" w:rsidRPr="00DA15C0">
        <w:t>A</w:t>
      </w:r>
      <w:r w:rsidR="003F4638">
        <w:t>ssistance</w:t>
      </w:r>
      <w:r w:rsidR="00DA15C0" w:rsidRPr="00DA15C0">
        <w:t>, P</w:t>
      </w:r>
      <w:r w:rsidR="006944D8">
        <w:t xml:space="preserve">roducer </w:t>
      </w:r>
      <w:r w:rsidR="00DA15C0" w:rsidRPr="00DA15C0">
        <w:t>S</w:t>
      </w:r>
      <w:r w:rsidR="006944D8">
        <w:t xml:space="preserve">upport </w:t>
      </w:r>
      <w:r w:rsidR="00DA15C0" w:rsidRPr="00DA15C0">
        <w:t>E</w:t>
      </w:r>
      <w:r w:rsidR="006944D8">
        <w:t>stimate</w:t>
      </w:r>
      <w:r w:rsidR="008A0A39">
        <w:t xml:space="preserve"> </w:t>
      </w:r>
    </w:p>
    <w:p w14:paraId="0780AF82" w14:textId="77777777" w:rsidR="00B21940" w:rsidRDefault="00B21940" w:rsidP="00524866">
      <w:pPr>
        <w:spacing w:after="120"/>
      </w:pPr>
    </w:p>
    <w:p w14:paraId="6ED9C419" w14:textId="77777777" w:rsidR="00B21940" w:rsidRDefault="00B21940" w:rsidP="00524866">
      <w:pPr>
        <w:spacing w:after="120"/>
      </w:pPr>
    </w:p>
    <w:p w14:paraId="3344E3ED" w14:textId="1038B83B" w:rsidR="00B21940" w:rsidRDefault="00B21940" w:rsidP="00524866">
      <w:pPr>
        <w:spacing w:after="120"/>
      </w:pPr>
      <w:r>
        <w:t>Acknowledgement: We thank</w:t>
      </w:r>
      <w:proofErr w:type="gramStart"/>
      <w:r>
        <w:t xml:space="preserve">, in particular, </w:t>
      </w:r>
      <w:r w:rsidR="00AE63B4">
        <w:t>financial</w:t>
      </w:r>
      <w:proofErr w:type="gramEnd"/>
      <w:r w:rsidR="00AE63B4">
        <w:t xml:space="preserve"> support for the maintenance and updating of the website provided by the </w:t>
      </w:r>
      <w:r w:rsidR="00AE63B4" w:rsidRPr="00AE63B4">
        <w:t xml:space="preserve">One CGIAR Initiative </w:t>
      </w:r>
      <w:r w:rsidR="00AE63B4">
        <w:t>on “</w:t>
      </w:r>
      <w:r w:rsidR="00AE63B4" w:rsidRPr="00AE63B4">
        <w:t>Rethinking Food Markets for Inclusion and Sustainability"</w:t>
      </w:r>
      <w:r>
        <w:t>.</w:t>
      </w:r>
    </w:p>
    <w:p w14:paraId="74E8C3DA" w14:textId="0327C048" w:rsidR="004D0A7C" w:rsidRDefault="004D0A7C" w:rsidP="00524866">
      <w:pPr>
        <w:spacing w:after="120"/>
      </w:pPr>
    </w:p>
    <w:p w14:paraId="27083757" w14:textId="743BB5B6" w:rsidR="00C661AA" w:rsidRDefault="00C661AA" w:rsidP="00524866">
      <w:pPr>
        <w:spacing w:after="120"/>
      </w:pPr>
      <w:r>
        <w:t>*</w:t>
      </w:r>
      <w:r w:rsidRPr="00C661AA">
        <w:t>This work was completed while Simla Tokgoz was an economist at IFPRI. The findings and conclusions in this paper are those of the authors and should not be construed to represent any official USDA or USA Government determination or policy.</w:t>
      </w:r>
    </w:p>
    <w:p w14:paraId="20AE6A59" w14:textId="77777777" w:rsidR="00DB0A33" w:rsidRDefault="00DB0A33" w:rsidP="00524866">
      <w:pPr>
        <w:spacing w:after="120"/>
      </w:pPr>
    </w:p>
    <w:p w14:paraId="5E329E63" w14:textId="77777777" w:rsidR="008D26DB" w:rsidRDefault="008D26DB" w:rsidP="00524866">
      <w:pPr>
        <w:spacing w:after="120"/>
        <w:rPr>
          <w:b/>
          <w:sz w:val="28"/>
          <w:szCs w:val="28"/>
        </w:rPr>
        <w:sectPr w:rsidR="008D26DB" w:rsidSect="00137892">
          <w:pgSz w:w="11906" w:h="16838" w:code="9"/>
          <w:pgMar w:top="1134" w:right="1134" w:bottom="1134" w:left="1134" w:header="709" w:footer="709" w:gutter="454"/>
          <w:cols w:space="708"/>
          <w:docGrid w:linePitch="360"/>
        </w:sectPr>
      </w:pPr>
    </w:p>
    <w:p w14:paraId="56F335CC" w14:textId="77777777" w:rsidR="00524866" w:rsidRDefault="00524866" w:rsidP="00524866">
      <w:pPr>
        <w:spacing w:after="120"/>
      </w:pPr>
      <w:r w:rsidRPr="00933237">
        <w:rPr>
          <w:b/>
          <w:sz w:val="28"/>
          <w:szCs w:val="28"/>
        </w:rPr>
        <w:lastRenderedPageBreak/>
        <w:t xml:space="preserve">1. </w:t>
      </w:r>
      <w:r w:rsidR="00DA15C0">
        <w:rPr>
          <w:b/>
          <w:sz w:val="28"/>
          <w:szCs w:val="28"/>
        </w:rPr>
        <w:t>Introduction</w:t>
      </w:r>
      <w:r>
        <w:tab/>
      </w:r>
      <w:r>
        <w:tab/>
      </w:r>
    </w:p>
    <w:p w14:paraId="4B63BA49" w14:textId="77777777" w:rsidR="00933237" w:rsidRDefault="00933237" w:rsidP="00524866">
      <w:pPr>
        <w:spacing w:after="120"/>
      </w:pPr>
    </w:p>
    <w:p w14:paraId="4BEE60EE" w14:textId="77777777" w:rsidR="008A0A39" w:rsidRDefault="008A0A39" w:rsidP="003D5A80">
      <w:pPr>
        <w:spacing w:afterLines="160" w:after="384" w:line="360" w:lineRule="auto"/>
      </w:pPr>
      <w:r>
        <w:t>Prior to the 1980s, the available evidence on the changes in incentives provided by governments to farmers was extremely poor. While Josling (</w:t>
      </w:r>
      <w:r w:rsidR="00E8446D">
        <w:t>FAO 1973</w:t>
      </w:r>
      <w:r>
        <w:t xml:space="preserve">) had provided a </w:t>
      </w:r>
      <w:proofErr w:type="gramStart"/>
      <w:r>
        <w:t>widely-agreed</w:t>
      </w:r>
      <w:proofErr w:type="gramEnd"/>
      <w:r>
        <w:t xml:space="preserve"> methodology for measuring these changes, few studies were undertaken and those that were undertaken were frequently of limited commodity coverage and duration. Debates about assistance were therefore based on limited information, with participants frequently choosing arguments based on their own preferred </w:t>
      </w:r>
      <w:r w:rsidR="005656D1">
        <w:t xml:space="preserve">sets of </w:t>
      </w:r>
      <w:r>
        <w:t xml:space="preserve">alternative facts. </w:t>
      </w:r>
    </w:p>
    <w:p w14:paraId="13095F35" w14:textId="77777777" w:rsidR="008A0A39" w:rsidRDefault="008A0A39" w:rsidP="003D5A80">
      <w:pPr>
        <w:spacing w:afterLines="160" w:after="384" w:line="360" w:lineRule="auto"/>
      </w:pPr>
      <w:r>
        <w:t xml:space="preserve">This changed during the 1980s, when the OECD began to monitor the producer support provided by governments in OECD countries. The famous Krueger, </w:t>
      </w:r>
      <w:proofErr w:type="gramStart"/>
      <w:r>
        <w:t>Schiff</w:t>
      </w:r>
      <w:proofErr w:type="gramEnd"/>
      <w:r>
        <w:t xml:space="preserve"> and Valdes (1988) studies of agricultural distortions in developing countries provided detailed information for 18 such countries. These two sets of studies yielded two key stylized facts—that agriculture in developed countries was typically highly protected, while it was generally taxed—and frequently highly taxed—in developing countries. </w:t>
      </w:r>
    </w:p>
    <w:p w14:paraId="69963870" w14:textId="4E646086" w:rsidR="008A0A39" w:rsidRDefault="008A0A39" w:rsidP="003D5A80">
      <w:pPr>
        <w:spacing w:afterLines="160" w:after="384" w:line="360" w:lineRule="auto"/>
      </w:pPr>
      <w:r>
        <w:t xml:space="preserve">During the early 2000s, the </w:t>
      </w:r>
      <w:r w:rsidR="00E8446D">
        <w:t xml:space="preserve">large set of </w:t>
      </w:r>
      <w:r>
        <w:t xml:space="preserve">studies coordinated by Kym Anderson provided information on approximately 80 countries (including estimates based on </w:t>
      </w:r>
      <w:r w:rsidR="00665D8E">
        <w:t xml:space="preserve">the </w:t>
      </w:r>
      <w:r>
        <w:t xml:space="preserve">OECD monitoring) and updated our assessment of developments. The estimates for OECD countries showed a clear downward trend from their peak levels around 1986-88, while protection rates were trending up strongly in developing countries. </w:t>
      </w:r>
    </w:p>
    <w:p w14:paraId="430005C4" w14:textId="555A15DE" w:rsidR="008A0A39" w:rsidRDefault="008A0A39" w:rsidP="003D5A80">
      <w:pPr>
        <w:spacing w:afterLines="160" w:after="384" w:line="360" w:lineRule="auto"/>
      </w:pPr>
      <w:r>
        <w:t>It has become clear that—rather than relying on intermittently-produced one-off studies of agricultural protection—there is a need for co</w:t>
      </w:r>
      <w:r w:rsidR="00F46398">
        <w:t xml:space="preserve">ntinuously-updated estimates. </w:t>
      </w:r>
      <w:r>
        <w:t xml:space="preserve">Fortunately, the key elements of such a database can be assembled based on work that is ongoing in </w:t>
      </w:r>
      <w:proofErr w:type="gramStart"/>
      <w:r>
        <w:t>a number of</w:t>
      </w:r>
      <w:proofErr w:type="gramEnd"/>
      <w:r>
        <w:t xml:space="preserve"> key international organizations—the FAO; the Inter-American Development Bank; the OECD; the World Bank.  IFPRI is providing the framework in which these data will be presented in a common format at</w:t>
      </w:r>
      <w:r w:rsidR="00F46398">
        <w:t xml:space="preserve"> </w:t>
      </w:r>
      <w:hyperlink r:id="rId9" w:history="1">
        <w:r w:rsidR="00AE63B4" w:rsidRPr="00AE63B4">
          <w:rPr>
            <w:rStyle w:val="Hyperlink"/>
          </w:rPr>
          <w:t>http://www.agincentives.org</w:t>
        </w:r>
      </w:hyperlink>
      <w:r w:rsidR="00E8446D">
        <w:t xml:space="preserve">. </w:t>
      </w:r>
      <w:r>
        <w:t xml:space="preserve">By working together, these organizations </w:t>
      </w:r>
      <w:r w:rsidR="00F46398">
        <w:t xml:space="preserve">will be able to </w:t>
      </w:r>
      <w:r>
        <w:t>provide useful</w:t>
      </w:r>
      <w:r w:rsidR="005656D1">
        <w:t xml:space="preserve">, </w:t>
      </w:r>
      <w:proofErr w:type="gramStart"/>
      <w:r w:rsidR="005656D1">
        <w:t>continuously-updated</w:t>
      </w:r>
      <w:proofErr w:type="gramEnd"/>
      <w:r w:rsidR="005656D1">
        <w:t xml:space="preserve"> and relatively comprehensive</w:t>
      </w:r>
      <w:r>
        <w:t xml:space="preserve"> information to users at relatively low cost. </w:t>
      </w:r>
    </w:p>
    <w:p w14:paraId="72EA0B50" w14:textId="2D4054DD" w:rsidR="00D40B34" w:rsidRDefault="00E8446D" w:rsidP="003D5A80">
      <w:pPr>
        <w:tabs>
          <w:tab w:val="left" w:pos="540"/>
        </w:tabs>
        <w:spacing w:after="160" w:line="360" w:lineRule="auto"/>
      </w:pPr>
      <w:r>
        <w:t>Because of</w:t>
      </w:r>
      <w:r w:rsidR="00460DE1" w:rsidRPr="00A97375">
        <w:t xml:space="preserve"> differen</w:t>
      </w:r>
      <w:r>
        <w:t>ces in</w:t>
      </w:r>
      <w:r w:rsidR="00460DE1" w:rsidRPr="00A97375">
        <w:t xml:space="preserve"> </w:t>
      </w:r>
      <w:r w:rsidR="007151DD" w:rsidRPr="00A97375">
        <w:t>data</w:t>
      </w:r>
      <w:r w:rsidR="007151DD">
        <w:t>bases</w:t>
      </w:r>
      <w:r w:rsidR="00460DE1" w:rsidRPr="00A97375">
        <w:t>, methodologies, and time spans</w:t>
      </w:r>
      <w:r w:rsidR="00460DE1" w:rsidRPr="001C18ED">
        <w:t xml:space="preserve">, </w:t>
      </w:r>
      <w:r>
        <w:t xml:space="preserve">it has been relatively difficult for analysts to obtain </w:t>
      </w:r>
      <w:r w:rsidR="00460DE1" w:rsidRPr="001C18ED">
        <w:t>consistent long-term measurement</w:t>
      </w:r>
      <w:r>
        <w:t>s of agricultural distortions</w:t>
      </w:r>
      <w:r w:rsidR="00460DE1" w:rsidRPr="001C18ED">
        <w:t xml:space="preserve"> </w:t>
      </w:r>
      <w:r w:rsidR="00460DE1" w:rsidRPr="002C1096">
        <w:t>across all developed and developing countries</w:t>
      </w:r>
      <w:r>
        <w:t>. This made it difficult for</w:t>
      </w:r>
      <w:r w:rsidR="00B15514">
        <w:t xml:space="preserve"> policy makers </w:t>
      </w:r>
      <w:r w:rsidR="00460DE1" w:rsidRPr="009128BB">
        <w:t xml:space="preserve">to correctly measure, </w:t>
      </w:r>
      <w:r w:rsidR="00460DE1" w:rsidRPr="009128BB">
        <w:lastRenderedPageBreak/>
        <w:t xml:space="preserve">compare, and interpret the impact of their policy </w:t>
      </w:r>
      <w:r w:rsidR="00460DE1" w:rsidRPr="00DC75E6">
        <w:t>designs across commodities</w:t>
      </w:r>
      <w:r w:rsidR="004A5100" w:rsidRPr="00DC75E6">
        <w:t xml:space="preserve">, </w:t>
      </w:r>
      <w:r w:rsidR="00460DE1" w:rsidRPr="00DC75E6">
        <w:t>countries</w:t>
      </w:r>
      <w:r w:rsidR="00813A94" w:rsidRPr="00DC75E6">
        <w:t>,</w:t>
      </w:r>
      <w:r w:rsidR="00A05033" w:rsidRPr="00DC75E6">
        <w:t xml:space="preserve"> and time spans</w:t>
      </w:r>
      <w:r w:rsidR="00460DE1" w:rsidRPr="00DC75E6">
        <w:t xml:space="preserve">. To </w:t>
      </w:r>
      <w:r>
        <w:t>improve on this situation</w:t>
      </w:r>
      <w:r w:rsidR="00460DE1" w:rsidRPr="00DC75E6">
        <w:t xml:space="preserve">, an Agricultural (Ag) Incentives Consortium </w:t>
      </w:r>
      <w:r>
        <w:t xml:space="preserve">including the major </w:t>
      </w:r>
      <w:r w:rsidR="00665D8E">
        <w:t xml:space="preserve">international </w:t>
      </w:r>
      <w:r>
        <w:t xml:space="preserve">organizations </w:t>
      </w:r>
      <w:r w:rsidR="00665D8E">
        <w:t xml:space="preserve">(IO) </w:t>
      </w:r>
      <w:r>
        <w:t>active in measurement of agricultural incentives--</w:t>
      </w:r>
      <w:r w:rsidR="00460DE1" w:rsidRPr="00453B97">
        <w:t xml:space="preserve">OECD, </w:t>
      </w:r>
      <w:r w:rsidR="00460DE1" w:rsidRPr="00EB5617">
        <w:t>FAO</w:t>
      </w:r>
      <w:r w:rsidR="00460DE1" w:rsidRPr="00453B97">
        <w:t xml:space="preserve">, IDB, </w:t>
      </w:r>
      <w:r w:rsidR="00460DE1" w:rsidRPr="00A6320A">
        <w:t>IFPRI</w:t>
      </w:r>
      <w:r w:rsidR="00B21C91">
        <w:t>,</w:t>
      </w:r>
      <w:r w:rsidR="00460DE1" w:rsidRPr="00A6320A">
        <w:t xml:space="preserve"> </w:t>
      </w:r>
      <w:r w:rsidR="001A680C">
        <w:t xml:space="preserve">and the </w:t>
      </w:r>
      <w:r w:rsidR="00171864">
        <w:t>World Bank</w:t>
      </w:r>
      <w:r w:rsidR="00665D8E">
        <w:t xml:space="preserve"> was formed</w:t>
      </w:r>
      <w:r w:rsidR="00460DE1" w:rsidRPr="00A6320A">
        <w:t>.</w:t>
      </w:r>
      <w:r w:rsidR="00460DE1" w:rsidRPr="00AA4C19">
        <w:t xml:space="preserve"> </w:t>
      </w:r>
      <w:r w:rsidR="000437E8" w:rsidRPr="00AA4C19">
        <w:t xml:space="preserve">The </w:t>
      </w:r>
      <w:proofErr w:type="spellStart"/>
      <w:r w:rsidR="00506475" w:rsidRPr="00AA4C19">
        <w:t>AgIncentives</w:t>
      </w:r>
      <w:proofErr w:type="spellEnd"/>
      <w:r w:rsidR="00506475" w:rsidRPr="00AA4C19">
        <w:t xml:space="preserve"> </w:t>
      </w:r>
      <w:r w:rsidR="000437E8" w:rsidRPr="00AA4C19">
        <w:t>Consortium focuses on organizing collaboration among IOs</w:t>
      </w:r>
      <w:r w:rsidR="008D26DB">
        <w:t xml:space="preserve"> </w:t>
      </w:r>
      <w:proofErr w:type="gramStart"/>
      <w:r w:rsidR="008D26DB">
        <w:t>in order to</w:t>
      </w:r>
      <w:proofErr w:type="gramEnd"/>
      <w:r w:rsidR="008D26DB">
        <w:t xml:space="preserve"> provide better estimates of agricultural incentives, and to contribute to better policies</w:t>
      </w:r>
      <w:r w:rsidR="000437E8" w:rsidRPr="00AA4C19">
        <w:t>. One pillar of this</w:t>
      </w:r>
      <w:r w:rsidR="00171864">
        <w:t xml:space="preserve"> coordination involves</w:t>
      </w:r>
      <w:r w:rsidR="000437E8" w:rsidRPr="00AA4C19">
        <w:t xml:space="preserve"> generating a common </w:t>
      </w:r>
      <w:r w:rsidR="00171864">
        <w:t>set</w:t>
      </w:r>
      <w:r w:rsidR="00171864" w:rsidRPr="00AA4C19">
        <w:t xml:space="preserve"> </w:t>
      </w:r>
      <w:r w:rsidR="000437E8" w:rsidRPr="00AA4C19">
        <w:t>of clearly defined and well-documented common indicators, with a focus on price</w:t>
      </w:r>
      <w:r w:rsidR="00171864">
        <w:t xml:space="preserve"> incentives</w:t>
      </w:r>
      <w:r w:rsidR="000437E8" w:rsidRPr="00AA4C19">
        <w:t xml:space="preserve">. </w:t>
      </w:r>
      <w:r w:rsidR="00171864">
        <w:t>A s</w:t>
      </w:r>
      <w:r w:rsidR="000437E8" w:rsidRPr="00AA4C19">
        <w:t xml:space="preserve">econd pillar is about expanding country and product coverage. </w:t>
      </w:r>
      <w:r w:rsidR="00171864">
        <w:t>A t</w:t>
      </w:r>
      <w:r w:rsidR="000437E8" w:rsidRPr="00AA4C19">
        <w:t>hird pillar is providing a platform for tackling new issues and improving methodologies.</w:t>
      </w:r>
    </w:p>
    <w:p w14:paraId="16805E1F" w14:textId="7E66EFB7" w:rsidR="00AE63B4" w:rsidRPr="00AA4C19" w:rsidRDefault="00AE63B4" w:rsidP="003D5A80">
      <w:pPr>
        <w:tabs>
          <w:tab w:val="left" w:pos="540"/>
        </w:tabs>
        <w:spacing w:after="160" w:line="360" w:lineRule="auto"/>
      </w:pPr>
      <w:r>
        <w:tab/>
      </w:r>
      <w:r w:rsidRPr="0045175B">
        <w:t xml:space="preserve">A key element of the 2023 revamp of the database has been the inclusion of Nominal Rate of Assistance (NRA) measures. These include not just the support provided by trade measures, but support provided by subsidies paid on </w:t>
      </w:r>
      <w:r w:rsidR="003441F6" w:rsidRPr="0045175B">
        <w:t>outputs, inputs</w:t>
      </w:r>
      <w:r w:rsidR="00665D8E" w:rsidRPr="0045175B">
        <w:t>,</w:t>
      </w:r>
      <w:r w:rsidR="003441F6" w:rsidRPr="0045175B">
        <w:t xml:space="preserve"> and on other criteria. </w:t>
      </w:r>
      <w:r w:rsidR="003441F6" w:rsidRPr="00E3177B">
        <w:t>These subsidies are particularly relevant to current debates on repurposing agricultural support because their impacts on economic, environmental</w:t>
      </w:r>
      <w:r w:rsidR="00712C3E" w:rsidRPr="00E3177B">
        <w:t>,</w:t>
      </w:r>
      <w:r w:rsidR="003441F6" w:rsidRPr="00E3177B">
        <w:t xml:space="preserve"> and social outcomes are strongly influenced by the design of agricultural support programs.</w:t>
      </w:r>
      <w:r w:rsidR="003441F6">
        <w:t xml:space="preserve"> </w:t>
      </w:r>
    </w:p>
    <w:p w14:paraId="17C0F779" w14:textId="5DC34EFA" w:rsidR="009829BB" w:rsidRDefault="006E7CC9" w:rsidP="003D5A80">
      <w:pPr>
        <w:spacing w:afterLines="160" w:after="384" w:line="360" w:lineRule="auto"/>
      </w:pPr>
      <w:r>
        <w:tab/>
      </w:r>
      <w:r w:rsidR="009829BB">
        <w:t>In this paper, we first present a summary of the efforts in the literature to measure distortions and the relevant methodological discussions. Next, we present a synopsis of the Consortium and its goals, as well as data processing conducted for the databases of members of the Consortium.</w:t>
      </w:r>
      <w:r w:rsidR="001D2CFA">
        <w:t xml:space="preserve"> Then</w:t>
      </w:r>
      <w:r w:rsidR="00FF125E">
        <w:t>,</w:t>
      </w:r>
      <w:r w:rsidR="001D2CFA">
        <w:t xml:space="preserve"> we highlight key features of the Nominal Rate of Assistance measures now provided in the database. </w:t>
      </w:r>
      <w:r w:rsidR="009829BB">
        <w:t xml:space="preserve">We, then, present and discuss the </w:t>
      </w:r>
      <w:proofErr w:type="spellStart"/>
      <w:r w:rsidR="00FF125E">
        <w:t>behavior</w:t>
      </w:r>
      <w:proofErr w:type="spellEnd"/>
      <w:r w:rsidR="001D2CFA">
        <w:t xml:space="preserve"> of the </w:t>
      </w:r>
      <w:r w:rsidR="009829BB">
        <w:t xml:space="preserve">NRPs </w:t>
      </w:r>
      <w:r w:rsidR="001D2CFA">
        <w:t>over time.</w:t>
      </w:r>
      <w:r w:rsidR="00AE63B4">
        <w:t xml:space="preserve"> </w:t>
      </w:r>
      <w:r w:rsidR="003441F6">
        <w:t>The final section concludes</w:t>
      </w:r>
      <w:r w:rsidR="009829BB">
        <w:t>.</w:t>
      </w:r>
    </w:p>
    <w:p w14:paraId="60E296BA" w14:textId="77777777" w:rsidR="0028156E" w:rsidRPr="00AA4C19" w:rsidRDefault="0028156E" w:rsidP="00524866">
      <w:pPr>
        <w:spacing w:after="120"/>
      </w:pPr>
      <w:r w:rsidRPr="00AA4C19">
        <w:rPr>
          <w:b/>
          <w:sz w:val="28"/>
          <w:szCs w:val="28"/>
        </w:rPr>
        <w:t>2. Methodologies in the literature</w:t>
      </w:r>
      <w:r w:rsidRPr="00AA4C19">
        <w:t xml:space="preserve"> </w:t>
      </w:r>
    </w:p>
    <w:p w14:paraId="6FBD3921" w14:textId="77777777" w:rsidR="0032478F" w:rsidRDefault="0032478F" w:rsidP="00E1788B">
      <w:pPr>
        <w:tabs>
          <w:tab w:val="left" w:pos="540"/>
        </w:tabs>
        <w:spacing w:after="120"/>
        <w:ind w:firstLine="567"/>
        <w:rPr>
          <w:color w:val="000000"/>
        </w:rPr>
      </w:pPr>
    </w:p>
    <w:p w14:paraId="4945A5D7" w14:textId="28B9A2C4" w:rsidR="0094679E" w:rsidRDefault="00CF6AAB" w:rsidP="003D5A80">
      <w:pPr>
        <w:tabs>
          <w:tab w:val="left" w:pos="540"/>
        </w:tabs>
        <w:spacing w:after="120" w:line="360" w:lineRule="auto"/>
        <w:rPr>
          <w:color w:val="000000"/>
        </w:rPr>
      </w:pPr>
      <w:r>
        <w:rPr>
          <w:color w:val="000000"/>
        </w:rPr>
        <w:t xml:space="preserve">One broad approach to measurement of trade distortions focuses on the measures </w:t>
      </w:r>
      <w:proofErr w:type="gramStart"/>
      <w:r>
        <w:rPr>
          <w:color w:val="000000"/>
        </w:rPr>
        <w:t>actually used</w:t>
      </w:r>
      <w:proofErr w:type="gramEnd"/>
      <w:r>
        <w:rPr>
          <w:color w:val="000000"/>
        </w:rPr>
        <w:t xml:space="preserve"> to provide protection (or taxation). Databases such as UNCTAD TRAINS database consolidate measures of tariffs and nontariff measures, including taking the tariff equivalents of specific, mixed</w:t>
      </w:r>
      <w:r w:rsidR="00A056CF">
        <w:rPr>
          <w:color w:val="000000"/>
        </w:rPr>
        <w:t>,</w:t>
      </w:r>
      <w:r>
        <w:rPr>
          <w:color w:val="000000"/>
        </w:rPr>
        <w:t xml:space="preserve"> and compound tariffs. The WTO provides measures of both applied tariff rates and the schedules of commitments (bound tariffs) made by countries in WTO negotiations. The WITS software provides easy access to these databases (</w:t>
      </w:r>
      <w:hyperlink r:id="rId10" w:history="1">
        <w:r w:rsidRPr="00D641FA">
          <w:rPr>
            <w:rStyle w:val="Hyperlink"/>
          </w:rPr>
          <w:t>www.wits.worldbank.org</w:t>
        </w:r>
      </w:hyperlink>
      <w:r>
        <w:rPr>
          <w:color w:val="000000"/>
        </w:rPr>
        <w:t xml:space="preserve">). </w:t>
      </w:r>
    </w:p>
    <w:p w14:paraId="0FF816E1" w14:textId="77777777" w:rsidR="008473A0" w:rsidRDefault="003D5A80" w:rsidP="003D5A80">
      <w:pPr>
        <w:tabs>
          <w:tab w:val="left" w:pos="540"/>
        </w:tabs>
        <w:spacing w:after="120" w:line="360" w:lineRule="auto"/>
        <w:rPr>
          <w:color w:val="000000"/>
        </w:rPr>
      </w:pPr>
      <w:r>
        <w:rPr>
          <w:color w:val="000000"/>
        </w:rPr>
        <w:tab/>
      </w:r>
      <w:r w:rsidR="0094679E">
        <w:rPr>
          <w:color w:val="000000"/>
        </w:rPr>
        <w:t xml:space="preserve">While tariff-based measures are relatively easy to interpret and analyse, much agricultural protection and/or taxation is implemented using nontariff barriers such as tariff-rate-quotas, licenses, bans and sanitary and phytosanitary measures. For these, it is important to have measures </w:t>
      </w:r>
      <w:r w:rsidR="0094679E">
        <w:rPr>
          <w:color w:val="000000"/>
        </w:rPr>
        <w:lastRenderedPageBreak/>
        <w:t>of frequency and coverage, such as are provided by the UNCTAD TRAINS database (</w:t>
      </w:r>
      <w:hyperlink r:id="rId11" w:history="1">
        <w:r w:rsidR="0094679E" w:rsidRPr="00D641FA">
          <w:rPr>
            <w:rStyle w:val="Hyperlink"/>
          </w:rPr>
          <w:t>www.unctad.org</w:t>
        </w:r>
      </w:hyperlink>
      <w:r w:rsidR="0094679E">
        <w:rPr>
          <w:color w:val="000000"/>
        </w:rPr>
        <w:t xml:space="preserve">). Unfortunately converting this information into measures of the extent to which trade is distorted, or producers are supported, is not straightforward. Simply knowing that imports of a particular good are limited to 10,000 tonnes tells us nothing about the trade restrictive impact of a quota unless we know what imports would have been in the absence of the quota. The usual approach taken to dealing with this problem is to estimate the </w:t>
      </w:r>
      <w:r w:rsidR="0094679E" w:rsidRPr="003D5A80">
        <w:rPr>
          <w:i/>
          <w:color w:val="000000"/>
        </w:rPr>
        <w:t>ad valorem</w:t>
      </w:r>
      <w:r w:rsidR="0094679E">
        <w:rPr>
          <w:color w:val="000000"/>
        </w:rPr>
        <w:t xml:space="preserve"> tariff that would, under specified conditions, have the same effect on trade to the tariff.</w:t>
      </w:r>
    </w:p>
    <w:p w14:paraId="3B926D30" w14:textId="77777777" w:rsidR="00851139" w:rsidRDefault="004A5100" w:rsidP="003D5A80">
      <w:pPr>
        <w:tabs>
          <w:tab w:val="left" w:pos="547"/>
        </w:tabs>
        <w:spacing w:after="120" w:line="360" w:lineRule="auto"/>
        <w:rPr>
          <w:color w:val="000000"/>
        </w:rPr>
      </w:pPr>
      <w:r w:rsidRPr="00AA4C19">
        <w:rPr>
          <w:color w:val="000000"/>
        </w:rPr>
        <w:tab/>
      </w:r>
      <w:r w:rsidR="00851139">
        <w:rPr>
          <w:color w:val="000000"/>
        </w:rPr>
        <w:t xml:space="preserve">Given the wide variety of policy instruments used to influence agricultural prices and outputs, the primary method for estimating the tariff equivalents of agricultural trade barriers is comparison of internal and external prices at a common reference point. If an import quota, for instance, reduces the availability of the good in the domestic market enough to increase its price by 20 percent relative to the external price, then that quota is viewed as being equivalent in its effect to a 20 percent </w:t>
      </w:r>
      <w:r w:rsidR="00851139" w:rsidRPr="003D5A80">
        <w:rPr>
          <w:i/>
          <w:color w:val="000000"/>
        </w:rPr>
        <w:t>ad valorem</w:t>
      </w:r>
      <w:r w:rsidR="00851139">
        <w:rPr>
          <w:color w:val="000000"/>
        </w:rPr>
        <w:t xml:space="preserve"> tariff.</w:t>
      </w:r>
      <w:r w:rsidR="008473A0" w:rsidRPr="001C18ED">
        <w:rPr>
          <w:color w:val="000000"/>
        </w:rPr>
        <w:t xml:space="preserve"> </w:t>
      </w:r>
    </w:p>
    <w:p w14:paraId="7B738DCB" w14:textId="77777777" w:rsidR="008473A0" w:rsidRDefault="00851139" w:rsidP="003D5A80">
      <w:pPr>
        <w:tabs>
          <w:tab w:val="left" w:pos="547"/>
        </w:tabs>
        <w:spacing w:after="120" w:line="360" w:lineRule="auto"/>
        <w:rPr>
          <w:color w:val="000000"/>
        </w:rPr>
      </w:pPr>
      <w:r>
        <w:rPr>
          <w:color w:val="000000"/>
        </w:rPr>
        <w:tab/>
        <w:t>This approach was used by</w:t>
      </w:r>
      <w:r w:rsidR="008473A0" w:rsidRPr="001C18ED">
        <w:rPr>
          <w:color w:val="000000"/>
        </w:rPr>
        <w:t xml:space="preserve"> Krueger</w:t>
      </w:r>
      <w:r w:rsidR="001969D7" w:rsidRPr="001C18ED">
        <w:rPr>
          <w:color w:val="000000"/>
        </w:rPr>
        <w:t xml:space="preserve">, </w:t>
      </w:r>
      <w:proofErr w:type="gramStart"/>
      <w:r w:rsidR="001969D7" w:rsidRPr="001C18ED">
        <w:rPr>
          <w:color w:val="000000"/>
        </w:rPr>
        <w:t>Schiff</w:t>
      </w:r>
      <w:proofErr w:type="gramEnd"/>
      <w:r w:rsidR="001969D7" w:rsidRPr="001C18ED">
        <w:rPr>
          <w:color w:val="000000"/>
        </w:rPr>
        <w:t xml:space="preserve"> an</w:t>
      </w:r>
      <w:r w:rsidR="001969D7" w:rsidRPr="002C1096">
        <w:rPr>
          <w:color w:val="000000"/>
        </w:rPr>
        <w:t>d Valdes</w:t>
      </w:r>
      <w:r w:rsidR="008473A0" w:rsidRPr="00F62375">
        <w:rPr>
          <w:color w:val="000000"/>
        </w:rPr>
        <w:t xml:space="preserve"> (1988) </w:t>
      </w:r>
      <w:r>
        <w:rPr>
          <w:color w:val="000000"/>
        </w:rPr>
        <w:t xml:space="preserve">to estimate the tariff equivalents of the range of policy interventions that changed the domestic prices for agricultural goods relative to their external prices </w:t>
      </w:r>
      <w:r w:rsidR="008473A0" w:rsidRPr="00F62375">
        <w:rPr>
          <w:color w:val="000000"/>
        </w:rPr>
        <w:t xml:space="preserve">in </w:t>
      </w:r>
      <w:r>
        <w:rPr>
          <w:color w:val="000000"/>
        </w:rPr>
        <w:t>a range of</w:t>
      </w:r>
      <w:r w:rsidRPr="00F62375">
        <w:rPr>
          <w:color w:val="000000"/>
        </w:rPr>
        <w:t xml:space="preserve"> </w:t>
      </w:r>
      <w:r w:rsidR="008473A0" w:rsidRPr="00F62375">
        <w:rPr>
          <w:color w:val="000000"/>
        </w:rPr>
        <w:t xml:space="preserve">developing countries. </w:t>
      </w:r>
      <w:r w:rsidR="00171864">
        <w:rPr>
          <w:color w:val="000000"/>
        </w:rPr>
        <w:t>Th</w:t>
      </w:r>
      <w:r>
        <w:rPr>
          <w:color w:val="000000"/>
        </w:rPr>
        <w:t>is</w:t>
      </w:r>
      <w:r w:rsidR="008473A0" w:rsidRPr="00F62375">
        <w:rPr>
          <w:color w:val="000000"/>
        </w:rPr>
        <w:t xml:space="preserve"> effect was measured </w:t>
      </w:r>
      <w:r>
        <w:rPr>
          <w:color w:val="000000"/>
        </w:rPr>
        <w:t>as</w:t>
      </w:r>
      <w:r w:rsidRPr="00F62375">
        <w:rPr>
          <w:color w:val="000000"/>
        </w:rPr>
        <w:t xml:space="preserve"> </w:t>
      </w:r>
      <w:r w:rsidR="008473A0" w:rsidRPr="00F62375">
        <w:rPr>
          <w:color w:val="000000"/>
        </w:rPr>
        <w:t>the proportional difference between the P</w:t>
      </w:r>
      <w:r w:rsidR="008473A0" w:rsidRPr="009128BB">
        <w:rPr>
          <w:color w:val="000000"/>
        </w:rPr>
        <w:t>roducer Price</w:t>
      </w:r>
      <w:r>
        <w:rPr>
          <w:color w:val="000000"/>
        </w:rPr>
        <w:t xml:space="preserve"> (PP)</w:t>
      </w:r>
      <w:r w:rsidR="008473A0" w:rsidRPr="009128BB">
        <w:rPr>
          <w:color w:val="000000"/>
        </w:rPr>
        <w:t xml:space="preserve"> and border prices adjusting for distribution, storage, transport, and other marketing costs (</w:t>
      </w:r>
      <w:r>
        <w:rPr>
          <w:color w:val="000000"/>
        </w:rPr>
        <w:t xml:space="preserve">the </w:t>
      </w:r>
      <w:r w:rsidR="008473A0" w:rsidRPr="009128BB">
        <w:rPr>
          <w:color w:val="000000"/>
        </w:rPr>
        <w:t>Reference</w:t>
      </w:r>
      <w:r w:rsidR="008473A0" w:rsidRPr="008473A0">
        <w:rPr>
          <w:color w:val="000000"/>
        </w:rPr>
        <w:t xml:space="preserve"> Price</w:t>
      </w:r>
      <w:r>
        <w:rPr>
          <w:color w:val="000000"/>
        </w:rPr>
        <w:t>, RP</w:t>
      </w:r>
      <w:r w:rsidR="008473A0" w:rsidRPr="008473A0">
        <w:rPr>
          <w:color w:val="000000"/>
        </w:rPr>
        <w:t xml:space="preserve">). </w:t>
      </w:r>
      <w:r w:rsidR="008D26DB">
        <w:rPr>
          <w:color w:val="000000"/>
        </w:rPr>
        <w:t xml:space="preserve">This measure is essentially a tariff-equivalent, </w:t>
      </w:r>
      <w:r w:rsidR="008D26DB" w:rsidRPr="003D5A80">
        <w:rPr>
          <w:i/>
          <w:color w:val="000000"/>
        </w:rPr>
        <w:t>t</w:t>
      </w:r>
      <w:r w:rsidR="008D26DB">
        <w:rPr>
          <w:color w:val="000000"/>
        </w:rPr>
        <w:t xml:space="preserve">, of the measures used to influence domestic prices. </w:t>
      </w:r>
      <w:r w:rsidR="00A55EA8" w:rsidRPr="008473A0">
        <w:rPr>
          <w:color w:val="000000"/>
        </w:rPr>
        <w:t>The</w:t>
      </w:r>
      <w:r w:rsidR="008473A0" w:rsidRPr="008473A0">
        <w:rPr>
          <w:color w:val="000000"/>
        </w:rPr>
        <w:t xml:space="preserve"> NRP </w:t>
      </w:r>
      <w:r w:rsidR="008D26DB">
        <w:rPr>
          <w:color w:val="000000"/>
        </w:rPr>
        <w:t>is</w:t>
      </w:r>
      <w:r>
        <w:rPr>
          <w:color w:val="000000"/>
        </w:rPr>
        <w:t xml:space="preserve"> measured as:</w:t>
      </w:r>
      <w:r w:rsidR="008473A0" w:rsidRPr="008473A0">
        <w:rPr>
          <w:color w:val="000000"/>
        </w:rPr>
        <w:t xml:space="preserve"> </w:t>
      </w:r>
    </w:p>
    <w:p w14:paraId="1B13B044" w14:textId="77777777" w:rsidR="00C30AA1" w:rsidRPr="00454FE6" w:rsidRDefault="008D26DB" w:rsidP="00C30AA1">
      <w:pPr>
        <w:tabs>
          <w:tab w:val="left" w:pos="1080"/>
        </w:tabs>
        <w:spacing w:after="120"/>
      </w:pPr>
      <w:r w:rsidRPr="003D5A80">
        <w:t>(1)</w:t>
      </w:r>
      <w:r w:rsidR="00C30AA1">
        <w:rPr>
          <w:i/>
        </w:rPr>
        <w:tab/>
      </w:r>
      <w:proofErr w:type="spellStart"/>
      <w:r w:rsidR="00C30AA1">
        <w:rPr>
          <w:i/>
        </w:rPr>
        <w:t>NRP</w:t>
      </w:r>
      <w:r w:rsidR="003D5A80">
        <w:rPr>
          <w:i/>
          <w:vertAlign w:val="subscript"/>
        </w:rPr>
        <w:t>i</w:t>
      </w:r>
      <w:proofErr w:type="spellEnd"/>
      <w:r w:rsidR="00C30AA1" w:rsidRPr="00986794">
        <w:rPr>
          <w:i/>
        </w:rPr>
        <w:t xml:space="preserve"> = </w:t>
      </w:r>
      <w:r w:rsidR="00C30AA1" w:rsidRPr="00EF53E6">
        <w:t>((</w:t>
      </w:r>
      <w:proofErr w:type="spellStart"/>
      <w:proofErr w:type="gramStart"/>
      <w:r w:rsidR="00C30AA1">
        <w:rPr>
          <w:i/>
        </w:rPr>
        <w:t>PP</w:t>
      </w:r>
      <w:r w:rsidR="00C30AA1">
        <w:rPr>
          <w:i/>
          <w:vertAlign w:val="subscript"/>
        </w:rPr>
        <w:t>i</w:t>
      </w:r>
      <w:proofErr w:type="spellEnd"/>
      <w:r w:rsidR="00C30AA1" w:rsidRPr="00986794">
        <w:rPr>
          <w:i/>
        </w:rPr>
        <w:t xml:space="preserve"> </w:t>
      </w:r>
      <w:r w:rsidR="00C30AA1">
        <w:rPr>
          <w:i/>
        </w:rPr>
        <w:t xml:space="preserve"> /</w:t>
      </w:r>
      <w:proofErr w:type="gramEnd"/>
      <w:r w:rsidR="00C30AA1" w:rsidRPr="00986794">
        <w:rPr>
          <w:i/>
        </w:rPr>
        <w:t xml:space="preserve"> </w:t>
      </w:r>
      <w:r w:rsidR="00C30AA1">
        <w:rPr>
          <w:i/>
        </w:rPr>
        <w:t>RP</w:t>
      </w:r>
      <w:r w:rsidR="00C30AA1" w:rsidRPr="00986794">
        <w:rPr>
          <w:i/>
          <w:vertAlign w:val="subscript"/>
        </w:rPr>
        <w:t>i</w:t>
      </w:r>
      <w:r w:rsidR="00C30AA1" w:rsidRPr="00EF53E6">
        <w:t>)</w:t>
      </w:r>
      <w:r w:rsidR="00C30AA1" w:rsidRPr="00986794">
        <w:rPr>
          <w:i/>
        </w:rPr>
        <w:t xml:space="preserve">  –</w:t>
      </w:r>
      <w:r w:rsidR="00C30AA1" w:rsidRPr="00EF53E6">
        <w:t xml:space="preserve"> 1)</w:t>
      </w:r>
      <w:r w:rsidR="00C30AA1">
        <w:rPr>
          <w:i/>
        </w:rPr>
        <w:t xml:space="preserve"> </w:t>
      </w:r>
    </w:p>
    <w:p w14:paraId="5D5DDC92" w14:textId="77777777" w:rsidR="00D46277" w:rsidRDefault="00D46277" w:rsidP="00D46277">
      <w:pPr>
        <w:ind w:left="720"/>
      </w:pPr>
    </w:p>
    <w:p w14:paraId="74E3ABE5" w14:textId="48BA0212" w:rsidR="008473A0" w:rsidRDefault="004A5100" w:rsidP="003D5A80">
      <w:pPr>
        <w:tabs>
          <w:tab w:val="left" w:pos="547"/>
        </w:tabs>
        <w:spacing w:after="120" w:line="360" w:lineRule="auto"/>
      </w:pPr>
      <w:r>
        <w:rPr>
          <w:color w:val="000000"/>
        </w:rPr>
        <w:tab/>
      </w:r>
      <w:r w:rsidR="008473A0" w:rsidRPr="008473A0">
        <w:rPr>
          <w:color w:val="000000"/>
        </w:rPr>
        <w:t>Anderson et al. (2008) expanded this effort by measuring</w:t>
      </w:r>
      <w:r w:rsidR="004959F0">
        <w:rPr>
          <w:color w:val="000000"/>
        </w:rPr>
        <w:t>, in addition,</w:t>
      </w:r>
      <w:r w:rsidR="008473A0" w:rsidRPr="008473A0">
        <w:rPr>
          <w:color w:val="000000"/>
        </w:rPr>
        <w:t xml:space="preserve"> </w:t>
      </w:r>
      <w:r w:rsidR="00FE7D1A">
        <w:rPr>
          <w:color w:val="000000"/>
        </w:rPr>
        <w:t xml:space="preserve">the </w:t>
      </w:r>
      <w:r w:rsidR="008D26DB">
        <w:rPr>
          <w:color w:val="000000"/>
        </w:rPr>
        <w:t>Nominal Rate of A</w:t>
      </w:r>
      <w:r w:rsidR="00851139">
        <w:rPr>
          <w:color w:val="000000"/>
        </w:rPr>
        <w:t>ssistance to agriculture, NRA, which includes policy measures other than trade barriers that affect the incentives for agricultural production in a country. They also</w:t>
      </w:r>
      <w:r w:rsidR="008473A0" w:rsidRPr="008473A0">
        <w:rPr>
          <w:color w:val="000000"/>
        </w:rPr>
        <w:t xml:space="preserve"> outlin</w:t>
      </w:r>
      <w:r w:rsidR="00851139">
        <w:rPr>
          <w:color w:val="000000"/>
        </w:rPr>
        <w:t xml:space="preserve">ed </w:t>
      </w:r>
      <w:r w:rsidR="008473A0" w:rsidRPr="008473A0">
        <w:rPr>
          <w:color w:val="000000"/>
        </w:rPr>
        <w:t>many</w:t>
      </w:r>
      <w:r w:rsidR="00851139">
        <w:rPr>
          <w:color w:val="000000"/>
        </w:rPr>
        <w:t xml:space="preserve"> of the</w:t>
      </w:r>
      <w:r w:rsidR="008473A0" w:rsidRPr="008473A0">
        <w:rPr>
          <w:color w:val="000000"/>
        </w:rPr>
        <w:t xml:space="preserve"> methodological issues </w:t>
      </w:r>
      <w:r w:rsidR="00FE7D1A">
        <w:rPr>
          <w:color w:val="000000"/>
        </w:rPr>
        <w:t>involved in</w:t>
      </w:r>
      <w:r w:rsidR="00FE7D1A" w:rsidRPr="008473A0">
        <w:rPr>
          <w:color w:val="000000"/>
        </w:rPr>
        <w:t xml:space="preserve"> </w:t>
      </w:r>
      <w:r w:rsidR="008473A0" w:rsidRPr="008473A0">
        <w:rPr>
          <w:color w:val="000000"/>
        </w:rPr>
        <w:t>deriving such numbers</w:t>
      </w:r>
      <w:r w:rsidR="00D46277">
        <w:rPr>
          <w:color w:val="000000"/>
        </w:rPr>
        <w:t>. Different components of NRA were identified and defined, such as</w:t>
      </w:r>
      <w:r w:rsidR="00D51F39">
        <w:rPr>
          <w:color w:val="000000"/>
        </w:rPr>
        <w:t xml:space="preserve"> </w:t>
      </w:r>
      <w:r w:rsidR="00D51F39">
        <w:t xml:space="preserve">NRA to farm output conferred by border price support, NRA to output conferred by domestic price support, </w:t>
      </w:r>
      <w:r w:rsidR="00FF051E">
        <w:t xml:space="preserve">and </w:t>
      </w:r>
      <w:r w:rsidR="00D51F39">
        <w:t xml:space="preserve">NRA to inputs, </w:t>
      </w:r>
      <w:r>
        <w:t xml:space="preserve">among others. </w:t>
      </w:r>
      <w:r w:rsidR="00CA404A">
        <w:rPr>
          <w:color w:val="000000"/>
        </w:rPr>
        <w:t>Furthermore, there is clearer identification of non-distortionary price wedges</w:t>
      </w:r>
      <w:r w:rsidR="00FE7D1A">
        <w:rPr>
          <w:color w:val="000000"/>
        </w:rPr>
        <w:t xml:space="preserve"> </w:t>
      </w:r>
      <w:r w:rsidR="00620D56">
        <w:rPr>
          <w:color w:val="000000"/>
        </w:rPr>
        <w:t xml:space="preserve">such as transportation and processing costs </w:t>
      </w:r>
      <w:r w:rsidR="00FE7D1A">
        <w:rPr>
          <w:color w:val="000000"/>
        </w:rPr>
        <w:t xml:space="preserve">relative to </w:t>
      </w:r>
      <w:r w:rsidR="00620D56">
        <w:rPr>
          <w:color w:val="000000"/>
        </w:rPr>
        <w:t>distortionary price wedges introduced by policy</w:t>
      </w:r>
      <w:r w:rsidR="00CA404A">
        <w:rPr>
          <w:color w:val="000000"/>
        </w:rPr>
        <w:t xml:space="preserve">, which help </w:t>
      </w:r>
      <w:r>
        <w:rPr>
          <w:color w:val="000000"/>
        </w:rPr>
        <w:t xml:space="preserve">in </w:t>
      </w:r>
      <w:r w:rsidR="00CA404A">
        <w:rPr>
          <w:color w:val="000000"/>
        </w:rPr>
        <w:t xml:space="preserve">location and evaluation of </w:t>
      </w:r>
      <w:r w:rsidR="008473A0" w:rsidRPr="008473A0">
        <w:rPr>
          <w:color w:val="000000"/>
        </w:rPr>
        <w:t xml:space="preserve">prices </w:t>
      </w:r>
      <w:r>
        <w:rPr>
          <w:color w:val="000000"/>
        </w:rPr>
        <w:t xml:space="preserve">being transmitted </w:t>
      </w:r>
      <w:r w:rsidR="008473A0" w:rsidRPr="008473A0">
        <w:rPr>
          <w:color w:val="000000"/>
        </w:rPr>
        <w:t>along the value chain.</w:t>
      </w:r>
    </w:p>
    <w:p w14:paraId="5D466EBE" w14:textId="637DD190" w:rsidR="008D26DB" w:rsidRDefault="00F83ED1" w:rsidP="003D5A80">
      <w:pPr>
        <w:tabs>
          <w:tab w:val="left" w:pos="547"/>
        </w:tabs>
        <w:spacing w:after="120" w:line="360" w:lineRule="auto"/>
        <w:rPr>
          <w:color w:val="000000"/>
        </w:rPr>
      </w:pPr>
      <w:r>
        <w:rPr>
          <w:color w:val="000000"/>
        </w:rPr>
        <w:tab/>
      </w:r>
      <w:r w:rsidR="00C30AA1">
        <w:rPr>
          <w:color w:val="000000"/>
        </w:rPr>
        <w:t xml:space="preserve">For </w:t>
      </w:r>
      <w:r w:rsidR="00C30AA1" w:rsidRPr="008473A0">
        <w:rPr>
          <w:color w:val="000000"/>
        </w:rPr>
        <w:t>direct measurement of policies</w:t>
      </w:r>
      <w:r w:rsidR="00C30AA1">
        <w:rPr>
          <w:color w:val="000000"/>
        </w:rPr>
        <w:t>,</w:t>
      </w:r>
      <w:r w:rsidR="00C30AA1" w:rsidRPr="008473A0">
        <w:rPr>
          <w:color w:val="000000"/>
        </w:rPr>
        <w:t xml:space="preserve"> </w:t>
      </w:r>
      <w:r w:rsidR="008473A0" w:rsidRPr="008473A0">
        <w:rPr>
          <w:color w:val="000000"/>
        </w:rPr>
        <w:t xml:space="preserve">OECD has </w:t>
      </w:r>
      <w:r w:rsidR="007151DD">
        <w:rPr>
          <w:color w:val="000000"/>
        </w:rPr>
        <w:t>a major</w:t>
      </w:r>
      <w:r w:rsidR="007151DD" w:rsidRPr="008473A0">
        <w:rPr>
          <w:color w:val="000000"/>
        </w:rPr>
        <w:t xml:space="preserve"> </w:t>
      </w:r>
      <w:r w:rsidR="008473A0" w:rsidRPr="008473A0">
        <w:rPr>
          <w:color w:val="000000"/>
        </w:rPr>
        <w:t>effort with</w:t>
      </w:r>
      <w:r w:rsidR="008D26DB">
        <w:rPr>
          <w:color w:val="000000"/>
        </w:rPr>
        <w:t>, the Producer Support Estimate,</w:t>
      </w:r>
      <w:r w:rsidR="008473A0" w:rsidRPr="008473A0">
        <w:rPr>
          <w:color w:val="000000"/>
        </w:rPr>
        <w:t xml:space="preserve"> </w:t>
      </w:r>
      <w:r w:rsidR="004A5100">
        <w:rPr>
          <w:color w:val="000000"/>
        </w:rPr>
        <w:t>PSE</w:t>
      </w:r>
      <w:r w:rsidR="00EE55EC">
        <w:rPr>
          <w:color w:val="000000"/>
        </w:rPr>
        <w:t xml:space="preserve"> (OECD </w:t>
      </w:r>
      <w:r w:rsidR="00C92E19">
        <w:rPr>
          <w:color w:val="000000"/>
        </w:rPr>
        <w:t>2022</w:t>
      </w:r>
      <w:r w:rsidR="00EE55EC">
        <w:rPr>
          <w:color w:val="000000"/>
        </w:rPr>
        <w:t>)</w:t>
      </w:r>
      <w:r w:rsidR="008473A0" w:rsidRPr="008473A0">
        <w:rPr>
          <w:color w:val="000000"/>
        </w:rPr>
        <w:t xml:space="preserve">. For OECD, </w:t>
      </w:r>
      <w:r w:rsidR="00FE7D1A">
        <w:rPr>
          <w:color w:val="000000"/>
        </w:rPr>
        <w:t xml:space="preserve">the </w:t>
      </w:r>
      <w:r w:rsidR="008473A0" w:rsidRPr="008473A0">
        <w:rPr>
          <w:color w:val="000000"/>
        </w:rPr>
        <w:t>PSE is a part of the Total Support Estimate</w:t>
      </w:r>
      <w:r w:rsidR="007B699D">
        <w:rPr>
          <w:color w:val="000000"/>
        </w:rPr>
        <w:t>,</w:t>
      </w:r>
      <w:r w:rsidR="008473A0" w:rsidRPr="008473A0">
        <w:rPr>
          <w:color w:val="000000"/>
        </w:rPr>
        <w:t xml:space="preserve"> which is </w:t>
      </w:r>
      <w:r w:rsidR="008473A0" w:rsidRPr="008473A0">
        <w:rPr>
          <w:color w:val="000000"/>
        </w:rPr>
        <w:lastRenderedPageBreak/>
        <w:t xml:space="preserve">an </w:t>
      </w:r>
      <w:r w:rsidR="00C30AA1">
        <w:rPr>
          <w:color w:val="000000"/>
        </w:rPr>
        <w:t>i</w:t>
      </w:r>
      <w:r w:rsidR="008473A0" w:rsidRPr="008473A0">
        <w:rPr>
          <w:color w:val="000000"/>
        </w:rPr>
        <w:t xml:space="preserve">ndicator of the annual monetary value of all gross transfers from taxpayers and consumers arising from policy measures </w:t>
      </w:r>
      <w:r w:rsidR="007B699D">
        <w:rPr>
          <w:color w:val="000000"/>
        </w:rPr>
        <w:t>that</w:t>
      </w:r>
      <w:r w:rsidR="007B699D" w:rsidRPr="008473A0">
        <w:rPr>
          <w:color w:val="000000"/>
        </w:rPr>
        <w:t xml:space="preserve"> </w:t>
      </w:r>
      <w:r w:rsidR="008473A0" w:rsidRPr="008473A0">
        <w:rPr>
          <w:color w:val="000000"/>
        </w:rPr>
        <w:t>support agriculture, net of the associated budgetary receipts. Here</w:t>
      </w:r>
      <w:r w:rsidR="004A5100">
        <w:rPr>
          <w:color w:val="000000"/>
        </w:rPr>
        <w:t>,</w:t>
      </w:r>
      <w:r w:rsidR="008473A0" w:rsidRPr="008473A0">
        <w:rPr>
          <w:color w:val="000000"/>
        </w:rPr>
        <w:t xml:space="preserve"> the </w:t>
      </w:r>
      <w:r w:rsidR="007B699D" w:rsidRPr="008473A0">
        <w:rPr>
          <w:color w:val="000000"/>
        </w:rPr>
        <w:t>percentage</w:t>
      </w:r>
      <w:r w:rsidR="007B699D">
        <w:rPr>
          <w:color w:val="000000"/>
        </w:rPr>
        <w:t xml:space="preserve"> </w:t>
      </w:r>
      <w:r w:rsidR="008473A0" w:rsidRPr="008473A0">
        <w:rPr>
          <w:color w:val="000000"/>
        </w:rPr>
        <w:t>PSE represents policy transfers to agricultural producers, measured at the farm gate and expressed as a share of gross farm receipts.</w:t>
      </w:r>
      <w:r w:rsidR="008D26DB">
        <w:rPr>
          <w:color w:val="000000"/>
        </w:rPr>
        <w:t xml:space="preserve"> </w:t>
      </w:r>
    </w:p>
    <w:p w14:paraId="72136748" w14:textId="77777777" w:rsidR="008473A0" w:rsidRDefault="00007D3E" w:rsidP="003D5A80">
      <w:pPr>
        <w:tabs>
          <w:tab w:val="left" w:pos="547"/>
        </w:tabs>
        <w:spacing w:after="120" w:line="360" w:lineRule="auto"/>
        <w:rPr>
          <w:color w:val="000000"/>
        </w:rPr>
      </w:pPr>
      <w:r>
        <w:rPr>
          <w:color w:val="000000"/>
        </w:rPr>
        <w:tab/>
        <w:t>The PSE and the NRP are fundamentally different and comparing them directly is a common—and frequently major—source of error. Fortunately, there</w:t>
      </w:r>
      <w:r w:rsidR="008D26DB">
        <w:rPr>
          <w:color w:val="000000"/>
        </w:rPr>
        <w:t xml:space="preserve"> is a simple mapping between the NRP and the PSE that is frequently useful in comparing them. If, for simplicity, we consider the quantity of a good that costs $1 at the border, then an NRP of </w:t>
      </w:r>
      <w:r w:rsidR="008D26DB" w:rsidRPr="003D5A80">
        <w:rPr>
          <w:i/>
          <w:color w:val="000000"/>
        </w:rPr>
        <w:t>t</w:t>
      </w:r>
      <w:r w:rsidR="008D26DB">
        <w:rPr>
          <w:color w:val="000000"/>
        </w:rPr>
        <w:t xml:space="preserve"> means that good has a domestic value of (1+</w:t>
      </w:r>
      <w:r w:rsidR="008D26DB" w:rsidRPr="003D5A80">
        <w:rPr>
          <w:i/>
          <w:color w:val="000000"/>
        </w:rPr>
        <w:t>t</w:t>
      </w:r>
      <w:r w:rsidR="008D26DB">
        <w:rPr>
          <w:color w:val="000000"/>
        </w:rPr>
        <w:t xml:space="preserve">). The PSE for this good </w:t>
      </w:r>
      <w:proofErr w:type="gramStart"/>
      <w:r w:rsidR="008D26DB">
        <w:rPr>
          <w:color w:val="000000"/>
        </w:rPr>
        <w:t>is</w:t>
      </w:r>
      <w:proofErr w:type="gramEnd"/>
      <w:r w:rsidR="008D26DB">
        <w:rPr>
          <w:color w:val="000000"/>
        </w:rPr>
        <w:t xml:space="preserve"> </w:t>
      </w:r>
    </w:p>
    <w:p w14:paraId="6D6E2373" w14:textId="77777777" w:rsidR="004959F0" w:rsidRDefault="004959F0" w:rsidP="00E1788B">
      <w:pPr>
        <w:tabs>
          <w:tab w:val="left" w:pos="547"/>
        </w:tabs>
        <w:spacing w:after="120"/>
        <w:rPr>
          <w:color w:val="000000"/>
        </w:rPr>
      </w:pPr>
      <w:r>
        <w:rPr>
          <w:color w:val="000000"/>
        </w:rPr>
        <w:t>(2)</w:t>
      </w:r>
      <w:r>
        <w:rPr>
          <w:color w:val="000000"/>
        </w:rPr>
        <w:tab/>
      </w:r>
      <w:r>
        <w:rPr>
          <w:color w:val="000000"/>
        </w:rPr>
        <w:tab/>
      </w:r>
      <w:r>
        <w:rPr>
          <w:color w:val="000000"/>
        </w:rPr>
        <w:tab/>
      </w:r>
      <m:oMath>
        <m:sSub>
          <m:sSubPr>
            <m:ctrlPr>
              <w:rPr>
                <w:rFonts w:ascii="Cambria Math" w:hAnsi="Cambria Math"/>
                <w:i/>
                <w:color w:val="000000"/>
              </w:rPr>
            </m:ctrlPr>
          </m:sSubPr>
          <m:e>
            <m:r>
              <w:rPr>
                <w:rFonts w:ascii="Cambria Math" w:hAnsi="Cambria Math"/>
                <w:color w:val="000000"/>
              </w:rPr>
              <m:t>PSE</m:t>
            </m:r>
          </m:e>
          <m:sub>
            <m:r>
              <w:rPr>
                <w:rFonts w:ascii="Cambria Math" w:hAnsi="Cambria Math"/>
                <w:color w:val="000000"/>
              </w:rPr>
              <m:t>i</m:t>
            </m:r>
          </m:sub>
        </m:sSub>
        <m:r>
          <w:rPr>
            <w:rFonts w:ascii="Cambria Math" w:hAnsi="Cambria Math"/>
            <w:color w:val="000000"/>
          </w:rPr>
          <m:t xml:space="preserve">= </m:t>
        </m:r>
        <m:f>
          <m:fPr>
            <m:ctrlPr>
              <w:rPr>
                <w:rFonts w:ascii="Cambria Math" w:hAnsi="Cambria Math"/>
                <w:i/>
                <w:color w:val="000000"/>
              </w:rPr>
            </m:ctrlPr>
          </m:fPr>
          <m:num>
            <m:r>
              <w:rPr>
                <w:rFonts w:ascii="Cambria Math" w:hAnsi="Cambria Math"/>
                <w:color w:val="000000"/>
              </w:rPr>
              <m:t>t</m:t>
            </m:r>
          </m:num>
          <m:den>
            <m:r>
              <w:rPr>
                <w:rFonts w:ascii="Cambria Math" w:hAnsi="Cambria Math"/>
                <w:color w:val="000000"/>
              </w:rPr>
              <m:t>1+t</m:t>
            </m:r>
          </m:den>
        </m:f>
      </m:oMath>
    </w:p>
    <w:p w14:paraId="3552DB01" w14:textId="77777777" w:rsidR="00007D3E" w:rsidRDefault="00007D3E" w:rsidP="00E1788B">
      <w:pPr>
        <w:tabs>
          <w:tab w:val="left" w:pos="547"/>
        </w:tabs>
        <w:spacing w:after="120"/>
      </w:pPr>
    </w:p>
    <w:p w14:paraId="46A88251" w14:textId="77777777" w:rsidR="00007D3E" w:rsidRDefault="00007D3E" w:rsidP="00007D3E">
      <w:pPr>
        <w:tabs>
          <w:tab w:val="left" w:pos="547"/>
        </w:tabs>
        <w:spacing w:after="120" w:line="360" w:lineRule="auto"/>
      </w:pPr>
      <w:r>
        <w:t>This formula also has the useful feature of showing that the PSE must always lie between 0 and 1 for a positive rate of protection. The NRP, by contrast, can take any value. Rearranging equation (2) also allows us to move in the opposite direction:</w:t>
      </w:r>
    </w:p>
    <w:p w14:paraId="499C25CE" w14:textId="77777777" w:rsidR="00007D3E" w:rsidRPr="00007D3E" w:rsidRDefault="00007D3E" w:rsidP="00E1788B">
      <w:pPr>
        <w:tabs>
          <w:tab w:val="left" w:pos="547"/>
        </w:tabs>
        <w:spacing w:after="120"/>
        <w:rPr>
          <w:i/>
        </w:rPr>
      </w:pPr>
      <w:r>
        <w:t xml:space="preserve">(3)  </w:t>
      </w:r>
      <w:r>
        <w:tab/>
      </w:r>
      <w:r>
        <w:tab/>
      </w:r>
      <w:r>
        <w:tab/>
      </w:r>
      <w:r>
        <w:rPr>
          <w:i/>
        </w:rPr>
        <w:t xml:space="preserve">t = </w:t>
      </w:r>
      <m:oMath>
        <m:f>
          <m:fPr>
            <m:ctrlPr>
              <w:rPr>
                <w:rFonts w:ascii="Cambria Math" w:hAnsi="Cambria Math"/>
                <w:i/>
              </w:rPr>
            </m:ctrlPr>
          </m:fPr>
          <m:num>
            <m:r>
              <w:rPr>
                <w:rFonts w:ascii="Cambria Math" w:hAnsi="Cambria Math"/>
              </w:rPr>
              <m:t>PSE</m:t>
            </m:r>
          </m:num>
          <m:den>
            <m:r>
              <w:rPr>
                <w:rFonts w:ascii="Cambria Math" w:hAnsi="Cambria Math"/>
              </w:rPr>
              <m:t>1-PSE</m:t>
            </m:r>
          </m:den>
        </m:f>
      </m:oMath>
    </w:p>
    <w:p w14:paraId="06633B83" w14:textId="77777777" w:rsidR="00007D3E" w:rsidRDefault="00007D3E" w:rsidP="00E1788B">
      <w:pPr>
        <w:tabs>
          <w:tab w:val="left" w:pos="547"/>
        </w:tabs>
        <w:spacing w:after="120"/>
      </w:pPr>
    </w:p>
    <w:p w14:paraId="27EEC4BE" w14:textId="77777777" w:rsidR="00003FA9" w:rsidRDefault="004A5100" w:rsidP="00EF53E6">
      <w:pPr>
        <w:tabs>
          <w:tab w:val="left" w:pos="547"/>
        </w:tabs>
        <w:spacing w:after="120" w:line="360" w:lineRule="auto"/>
      </w:pPr>
      <w:r>
        <w:tab/>
      </w:r>
      <w:r w:rsidR="00003FA9">
        <w:t xml:space="preserve">OECD also calculates the Nominal Protection Coefficient </w:t>
      </w:r>
      <w:r w:rsidR="005F4CEE">
        <w:t xml:space="preserve">(NPC) </w:t>
      </w:r>
      <w:r w:rsidR="00003FA9">
        <w:t xml:space="preserve">that </w:t>
      </w:r>
      <w:r w:rsidR="00003FA9" w:rsidRPr="00DA1306">
        <w:t xml:space="preserve">includes budgetary outlays and treats input markets differently. It is the </w:t>
      </w:r>
      <w:r w:rsidR="00B070F7">
        <w:t>P</w:t>
      </w:r>
      <w:r w:rsidR="00003FA9" w:rsidRPr="00DA1306">
        <w:t xml:space="preserve">roducer </w:t>
      </w:r>
      <w:r w:rsidR="00B070F7">
        <w:t>P</w:t>
      </w:r>
      <w:r w:rsidR="00003FA9" w:rsidRPr="00DA1306">
        <w:t>rice</w:t>
      </w:r>
      <w:r w:rsidR="00EF53E6">
        <w:t xml:space="preserve"> plus</w:t>
      </w:r>
      <w:r w:rsidR="00EF53E6" w:rsidRPr="00DA1306">
        <w:t xml:space="preserve"> the value</w:t>
      </w:r>
      <w:r w:rsidR="00EF53E6">
        <w:t xml:space="preserve"> per unit</w:t>
      </w:r>
      <w:r w:rsidR="00EF53E6" w:rsidRPr="00DA1306">
        <w:t xml:space="preserve"> of payments based on output</w:t>
      </w:r>
      <w:r w:rsidR="00003FA9" w:rsidRPr="00DA1306">
        <w:t xml:space="preserve"> relative to the </w:t>
      </w:r>
      <w:r w:rsidR="00B070F7">
        <w:t>R</w:t>
      </w:r>
      <w:r w:rsidR="00003FA9" w:rsidRPr="00DA1306">
        <w:t xml:space="preserve">eference </w:t>
      </w:r>
      <w:r w:rsidR="00B070F7">
        <w:t>P</w:t>
      </w:r>
      <w:r w:rsidR="00003FA9" w:rsidRPr="00DA1306">
        <w:t>rice.</w:t>
      </w:r>
    </w:p>
    <w:p w14:paraId="7535C43C" w14:textId="6FFC6DF6" w:rsidR="00490E29" w:rsidRPr="00454FE6" w:rsidRDefault="00FF051E" w:rsidP="00FF051E">
      <w:r>
        <w:t xml:space="preserve">(4) </w:t>
      </w:r>
      <w:r w:rsidR="00490E29">
        <w:rPr>
          <w:i/>
        </w:rPr>
        <w:tab/>
        <w:t>NPC</w:t>
      </w:r>
      <w:r w:rsidR="00490E29" w:rsidRPr="00986794">
        <w:rPr>
          <w:i/>
        </w:rPr>
        <w:t xml:space="preserve"> = </w:t>
      </w:r>
      <w:r w:rsidR="00490E29" w:rsidRPr="00EF53E6">
        <w:t>(</w:t>
      </w:r>
      <w:r w:rsidR="00490E29">
        <w:rPr>
          <w:i/>
        </w:rPr>
        <w:t>PP</w:t>
      </w:r>
      <w:r w:rsidR="00490E29" w:rsidRPr="00986794">
        <w:rPr>
          <w:i/>
        </w:rPr>
        <w:t xml:space="preserve"> </w:t>
      </w:r>
      <w:r w:rsidR="00490E29">
        <w:rPr>
          <w:i/>
        </w:rPr>
        <w:t xml:space="preserve">+ </w:t>
      </w:r>
      <w:r w:rsidR="00490E29" w:rsidRPr="00EF53E6">
        <w:t>(</w:t>
      </w:r>
      <w:r w:rsidR="00490E29">
        <w:rPr>
          <w:i/>
        </w:rPr>
        <w:t>payments based on output</w:t>
      </w:r>
      <w:r w:rsidR="00EF53E6">
        <w:rPr>
          <w:i/>
        </w:rPr>
        <w:t xml:space="preserve"> or </w:t>
      </w:r>
      <w:r w:rsidR="00490E29">
        <w:rPr>
          <w:i/>
        </w:rPr>
        <w:t>production quantity</w:t>
      </w:r>
      <w:r w:rsidR="00490E29" w:rsidRPr="00EF53E6">
        <w:t xml:space="preserve">) / </w:t>
      </w:r>
      <w:r w:rsidR="00490E29">
        <w:rPr>
          <w:i/>
        </w:rPr>
        <w:t>RP</w:t>
      </w:r>
      <w:r w:rsidR="00490E29" w:rsidRPr="00EF53E6">
        <w:t>)</w:t>
      </w:r>
      <w:r w:rsidR="00490E29" w:rsidRPr="00986794">
        <w:rPr>
          <w:i/>
        </w:rPr>
        <w:t xml:space="preserve">  </w:t>
      </w:r>
      <w:r w:rsidR="00490E29">
        <w:rPr>
          <w:i/>
        </w:rPr>
        <w:t xml:space="preserve"> </w:t>
      </w:r>
    </w:p>
    <w:p w14:paraId="63BF986D" w14:textId="77777777" w:rsidR="00FF051E" w:rsidRDefault="00F83ED1" w:rsidP="00EF53E6">
      <w:pPr>
        <w:tabs>
          <w:tab w:val="left" w:pos="547"/>
        </w:tabs>
        <w:spacing w:after="120" w:line="360" w:lineRule="auto"/>
        <w:rPr>
          <w:color w:val="000000"/>
        </w:rPr>
      </w:pPr>
      <w:r>
        <w:rPr>
          <w:color w:val="000000"/>
        </w:rPr>
        <w:tab/>
      </w:r>
    </w:p>
    <w:p w14:paraId="2AB629C2" w14:textId="29DE6EB7" w:rsidR="008473A0" w:rsidRDefault="00FF051E" w:rsidP="00EF53E6">
      <w:pPr>
        <w:tabs>
          <w:tab w:val="left" w:pos="547"/>
        </w:tabs>
        <w:spacing w:after="120" w:line="360" w:lineRule="auto"/>
      </w:pPr>
      <w:r>
        <w:rPr>
          <w:color w:val="000000"/>
        </w:rPr>
        <w:tab/>
      </w:r>
      <w:r w:rsidR="008473A0" w:rsidRPr="008473A0">
        <w:rPr>
          <w:color w:val="000000"/>
        </w:rPr>
        <w:t xml:space="preserve">Transfers </w:t>
      </w:r>
      <w:r w:rsidR="00AF793F">
        <w:rPr>
          <w:color w:val="000000"/>
        </w:rPr>
        <w:t>counte</w:t>
      </w:r>
      <w:r w:rsidR="00AF793F" w:rsidRPr="008473A0">
        <w:rPr>
          <w:color w:val="000000"/>
        </w:rPr>
        <w:t xml:space="preserve">d </w:t>
      </w:r>
      <w:r w:rsidR="008473A0" w:rsidRPr="008473A0">
        <w:rPr>
          <w:color w:val="000000"/>
        </w:rPr>
        <w:t xml:space="preserve">in the PSE </w:t>
      </w:r>
      <w:r w:rsidR="00AF793F">
        <w:rPr>
          <w:color w:val="000000"/>
        </w:rPr>
        <w:t>include</w:t>
      </w:r>
      <w:r w:rsidR="008473A0" w:rsidRPr="008473A0">
        <w:rPr>
          <w:color w:val="000000"/>
        </w:rPr>
        <w:t xml:space="preserve"> market price support, budgetary payments, and of revenue foregone by the government</w:t>
      </w:r>
      <w:r w:rsidR="00140F08">
        <w:rPr>
          <w:color w:val="000000"/>
        </w:rPr>
        <w:t>.</w:t>
      </w:r>
      <w:r w:rsidR="008473A0" w:rsidRPr="008473A0">
        <w:rPr>
          <w:color w:val="000000"/>
        </w:rPr>
        <w:t xml:space="preserve"> </w:t>
      </w:r>
      <w:r w:rsidR="00140F08">
        <w:rPr>
          <w:color w:val="000000"/>
        </w:rPr>
        <w:t>T</w:t>
      </w:r>
      <w:r w:rsidR="00140F08" w:rsidRPr="008473A0">
        <w:rPr>
          <w:color w:val="000000"/>
        </w:rPr>
        <w:t xml:space="preserve">he </w:t>
      </w:r>
      <w:r w:rsidR="008473A0" w:rsidRPr="008473A0">
        <w:rPr>
          <w:color w:val="000000"/>
        </w:rPr>
        <w:t xml:space="preserve">PSE has evolved from being just a measure of market price support to including payments based on output as well as well as expanding beyond </w:t>
      </w:r>
      <w:proofErr w:type="gramStart"/>
      <w:r w:rsidR="008473A0" w:rsidRPr="008473A0">
        <w:rPr>
          <w:color w:val="000000"/>
        </w:rPr>
        <w:t>taking into account</w:t>
      </w:r>
      <w:proofErr w:type="gramEnd"/>
      <w:r w:rsidR="008473A0" w:rsidRPr="008473A0">
        <w:rPr>
          <w:color w:val="000000"/>
        </w:rPr>
        <w:t xml:space="preserve"> just direct payments to multiple sources of payments. </w:t>
      </w:r>
      <w:r w:rsidR="008473A0" w:rsidRPr="0023623F">
        <w:t xml:space="preserve">The Market Price Support (MPS) for a commodity is </w:t>
      </w:r>
      <w:r w:rsidR="00140F08" w:rsidRPr="0023623F">
        <w:t>estimated either by adding together transfers to producers from consumers and taxpayers or by multiplying</w:t>
      </w:r>
      <w:r w:rsidR="008473A0" w:rsidRPr="0023623F">
        <w:t xml:space="preserve"> the quantity of production by the market price differential (the difference between farm and border price). </w:t>
      </w:r>
      <w:r w:rsidR="00897ED5">
        <w:t xml:space="preserve">The </w:t>
      </w:r>
      <w:r w:rsidR="00C41D90">
        <w:t xml:space="preserve">MPS component of PSE is </w:t>
      </w:r>
      <w:proofErr w:type="gramStart"/>
      <w:r w:rsidR="00C41D90">
        <w:t xml:space="preserve">similar </w:t>
      </w:r>
      <w:r w:rsidR="005F4CEE">
        <w:t>to</w:t>
      </w:r>
      <w:proofErr w:type="gramEnd"/>
      <w:r w:rsidR="005F4CEE">
        <w:t xml:space="preserve"> </w:t>
      </w:r>
      <w:r w:rsidR="00FE7D1A">
        <w:t xml:space="preserve">the </w:t>
      </w:r>
      <w:r w:rsidR="005F4CEE">
        <w:t>NRP in that it also depends on price gaps.</w:t>
      </w:r>
      <w:r w:rsidR="00111CC7">
        <w:t xml:space="preserve"> </w:t>
      </w:r>
    </w:p>
    <w:p w14:paraId="203646AB" w14:textId="74A5F9CA" w:rsidR="00AA07DD" w:rsidRDefault="00F83ED1" w:rsidP="001A680C">
      <w:pPr>
        <w:tabs>
          <w:tab w:val="left" w:pos="540"/>
        </w:tabs>
        <w:spacing w:after="120" w:line="360" w:lineRule="auto"/>
      </w:pPr>
      <w:r>
        <w:tab/>
      </w:r>
      <w:r w:rsidR="008473A0" w:rsidRPr="00EB5617">
        <w:t>FAO</w:t>
      </w:r>
      <w:r w:rsidR="008473A0" w:rsidRPr="0023623F">
        <w:t xml:space="preserve"> </w:t>
      </w:r>
      <w:r w:rsidR="00B84E55">
        <w:t xml:space="preserve">(MAFAP 2016) </w:t>
      </w:r>
      <w:r w:rsidR="008473A0" w:rsidRPr="0023623F">
        <w:t xml:space="preserve">and </w:t>
      </w:r>
      <w:r w:rsidR="008473A0" w:rsidRPr="008473A0">
        <w:rPr>
          <w:color w:val="000000"/>
        </w:rPr>
        <w:t>IDB-</w:t>
      </w:r>
      <w:proofErr w:type="spellStart"/>
      <w:r w:rsidR="008473A0" w:rsidRPr="008473A0">
        <w:rPr>
          <w:color w:val="000000"/>
        </w:rPr>
        <w:t>A</w:t>
      </w:r>
      <w:r w:rsidR="00B84E55">
        <w:rPr>
          <w:color w:val="000000"/>
        </w:rPr>
        <w:t>grimonitor</w:t>
      </w:r>
      <w:proofErr w:type="spellEnd"/>
      <w:r w:rsidR="00B84E55">
        <w:rPr>
          <w:color w:val="000000"/>
        </w:rPr>
        <w:t xml:space="preserve"> (2016)</w:t>
      </w:r>
      <w:r w:rsidR="008473A0" w:rsidRPr="0023623F">
        <w:t xml:space="preserve"> use </w:t>
      </w:r>
      <w:r w:rsidR="00873AA9">
        <w:t xml:space="preserve">the </w:t>
      </w:r>
      <w:r w:rsidR="008473A0" w:rsidRPr="0023623F">
        <w:t>methodologies developed by OECD</w:t>
      </w:r>
      <w:r w:rsidR="00873AA9">
        <w:t>.</w:t>
      </w:r>
      <w:r w:rsidR="001A680C">
        <w:t xml:space="preserve"> </w:t>
      </w:r>
      <w:r w:rsidR="003441F6">
        <w:t xml:space="preserve">All the measurement efforts undertaken by Consortium members include measures of Nominal Rates of Assistance (NRA) provided by non-border measures such as subsidies to output </w:t>
      </w:r>
      <w:r w:rsidR="003441F6">
        <w:lastRenderedPageBreak/>
        <w:t xml:space="preserve">and inputs. </w:t>
      </w:r>
      <w:r w:rsidR="00AA07DD">
        <w:t>Support provided by subsidies can readily be expressed in mone</w:t>
      </w:r>
      <w:r w:rsidR="00873AA9">
        <w:t>tary</w:t>
      </w:r>
      <w:r w:rsidR="00AA07DD">
        <w:t xml:space="preserve"> terms. When subsidies are expressed relative to the value of output, they are typically</w:t>
      </w:r>
      <w:r w:rsidR="00C92E19">
        <w:t xml:space="preserve"> presented as a percentage Single Commodity Transfer (SCT), relative to the value of production including support that can be attributed to that commodity (OECD 2016, p117). Converting these measures to a</w:t>
      </w:r>
      <w:r w:rsidR="00CF3E31">
        <w:t>n NRA as a percentage of the value of output at world prices requires subtraction of the value of the SCT from the gross value of output in the denominator of the SCT—an operation analogous to that undertaken for the PSE in equation (3).</w:t>
      </w:r>
    </w:p>
    <w:p w14:paraId="4D8D2EC5" w14:textId="77777777" w:rsidR="009829BB" w:rsidRPr="0023623F" w:rsidRDefault="009829BB" w:rsidP="008473A0">
      <w:pPr>
        <w:rPr>
          <w:strike/>
        </w:rPr>
      </w:pPr>
    </w:p>
    <w:p w14:paraId="3C482930" w14:textId="77777777" w:rsidR="00D22369" w:rsidRDefault="00D22369" w:rsidP="008473A0">
      <w:pPr>
        <w:tabs>
          <w:tab w:val="left" w:pos="540"/>
        </w:tabs>
        <w:spacing w:after="120"/>
      </w:pPr>
      <w:r>
        <w:rPr>
          <w:b/>
          <w:sz w:val="28"/>
          <w:szCs w:val="28"/>
        </w:rPr>
        <w:t>3</w:t>
      </w:r>
      <w:r w:rsidRPr="00933237">
        <w:rPr>
          <w:b/>
          <w:sz w:val="28"/>
          <w:szCs w:val="28"/>
        </w:rPr>
        <w:t xml:space="preserve">. </w:t>
      </w:r>
      <w:r>
        <w:rPr>
          <w:b/>
          <w:sz w:val="28"/>
          <w:szCs w:val="28"/>
        </w:rPr>
        <w:t xml:space="preserve">Consortium </w:t>
      </w:r>
      <w:r w:rsidR="00955CD5">
        <w:rPr>
          <w:b/>
          <w:sz w:val="28"/>
          <w:szCs w:val="28"/>
        </w:rPr>
        <w:t>s</w:t>
      </w:r>
      <w:r>
        <w:rPr>
          <w:b/>
          <w:sz w:val="28"/>
          <w:szCs w:val="28"/>
        </w:rPr>
        <w:t>tructure</w:t>
      </w:r>
      <w:r w:rsidR="006914CF">
        <w:rPr>
          <w:b/>
          <w:sz w:val="28"/>
          <w:szCs w:val="28"/>
        </w:rPr>
        <w:t xml:space="preserve"> and</w:t>
      </w:r>
      <w:r w:rsidR="006914CF">
        <w:t xml:space="preserve"> </w:t>
      </w:r>
      <w:r w:rsidR="00C34871">
        <w:rPr>
          <w:b/>
          <w:sz w:val="28"/>
          <w:szCs w:val="28"/>
        </w:rPr>
        <w:t xml:space="preserve">database </w:t>
      </w:r>
    </w:p>
    <w:p w14:paraId="3760E650" w14:textId="77777777" w:rsidR="0032478F" w:rsidRDefault="009E56E7" w:rsidP="00F83ED1">
      <w:pPr>
        <w:tabs>
          <w:tab w:val="left" w:pos="540"/>
        </w:tabs>
        <w:spacing w:after="120"/>
      </w:pPr>
      <w:r>
        <w:tab/>
      </w:r>
    </w:p>
    <w:p w14:paraId="1B7056AB" w14:textId="7BB97038" w:rsidR="008473A0" w:rsidRDefault="0032478F" w:rsidP="00111CC7">
      <w:pPr>
        <w:tabs>
          <w:tab w:val="left" w:pos="540"/>
        </w:tabs>
        <w:spacing w:after="120" w:line="360" w:lineRule="auto"/>
      </w:pPr>
      <w:r>
        <w:tab/>
      </w:r>
      <w:r w:rsidR="004C089C">
        <w:t>The objective</w:t>
      </w:r>
      <w:r w:rsidR="00ED0582">
        <w:t>s</w:t>
      </w:r>
      <w:r w:rsidR="004C089C">
        <w:t xml:space="preserve"> of </w:t>
      </w:r>
      <w:proofErr w:type="spellStart"/>
      <w:r w:rsidR="004C089C">
        <w:t>AgIncentives</w:t>
      </w:r>
      <w:proofErr w:type="spellEnd"/>
      <w:r w:rsidR="004C089C">
        <w:t xml:space="preserve"> Consortium </w:t>
      </w:r>
      <w:r w:rsidR="00ED0582">
        <w:t>are</w:t>
      </w:r>
      <w:r w:rsidR="004C089C">
        <w:t xml:space="preserve"> to bring together the findings from the organizations active in this field on a continuing basis </w:t>
      </w:r>
      <w:proofErr w:type="gramStart"/>
      <w:r w:rsidR="004C089C">
        <w:t>in order to</w:t>
      </w:r>
      <w:proofErr w:type="gramEnd"/>
      <w:r w:rsidR="004C089C">
        <w:t xml:space="preserve"> develop a global view of incentives, and to shine a light on incentives in some of the smaller economies where distortions to agricultural incentives have a particular impact on the poor.</w:t>
      </w:r>
      <w:r w:rsidR="004C089C">
        <w:tab/>
      </w:r>
      <w:r w:rsidR="00111CC7">
        <w:t xml:space="preserve">The </w:t>
      </w:r>
      <w:proofErr w:type="spellStart"/>
      <w:r w:rsidR="008473A0" w:rsidRPr="001006F6">
        <w:t>AgIncentives</w:t>
      </w:r>
      <w:proofErr w:type="spellEnd"/>
      <w:r w:rsidR="008473A0" w:rsidRPr="001006F6">
        <w:t xml:space="preserve"> Consortium </w:t>
      </w:r>
      <w:r w:rsidR="00EB715B">
        <w:t xml:space="preserve">achieves these </w:t>
      </w:r>
      <w:r w:rsidR="00111CC7">
        <w:t xml:space="preserve">objectives </w:t>
      </w:r>
      <w:r w:rsidR="004C089C">
        <w:t>through</w:t>
      </w:r>
      <w:r w:rsidR="008473A0" w:rsidRPr="001006F6">
        <w:t xml:space="preserve"> </w:t>
      </w:r>
      <w:r w:rsidR="004C089C">
        <w:t xml:space="preserve">creation of </w:t>
      </w:r>
      <w:r w:rsidR="008473A0" w:rsidRPr="001006F6">
        <w:t xml:space="preserve">a community of practice, </w:t>
      </w:r>
      <w:r w:rsidR="00AF793F">
        <w:t xml:space="preserve">and </w:t>
      </w:r>
      <w:r w:rsidR="008473A0" w:rsidRPr="001006F6">
        <w:t>harmonization and consolidation of a database.</w:t>
      </w:r>
      <w:r w:rsidR="00111CC7">
        <w:t xml:space="preserve"> </w:t>
      </w:r>
      <w:r w:rsidR="009E56E7">
        <w:t xml:space="preserve">As </w:t>
      </w:r>
      <w:r w:rsidR="00CE115A">
        <w:t>can be seen from</w:t>
      </w:r>
      <w:r w:rsidR="009E56E7">
        <w:t xml:space="preserve"> Table 1</w:t>
      </w:r>
      <w:r w:rsidR="001B6C3C">
        <w:t xml:space="preserve">, </w:t>
      </w:r>
      <w:r w:rsidR="00111CC7">
        <w:t>these</w:t>
      </w:r>
      <w:r w:rsidR="00E63E10">
        <w:t xml:space="preserve"> IOs publish measurement</w:t>
      </w:r>
      <w:r w:rsidR="00CE115A">
        <w:t>s</w:t>
      </w:r>
      <w:r w:rsidR="00E63E10">
        <w:t xml:space="preserve"> of distortions with </w:t>
      </w:r>
      <w:r w:rsidR="008C286C">
        <w:t>some</w:t>
      </w:r>
      <w:r w:rsidR="00E63E10">
        <w:t xml:space="preserve"> overlap across geographical </w:t>
      </w:r>
      <w:r w:rsidR="00955CD5">
        <w:t xml:space="preserve">and sectoral </w:t>
      </w:r>
      <w:r w:rsidR="00E63E10">
        <w:t>coverage and time span.</w:t>
      </w:r>
      <w:r w:rsidR="00CE115A">
        <w:t xml:space="preserve"> In particular, the </w:t>
      </w:r>
      <w:r w:rsidR="00CE115A" w:rsidRPr="00EB5617">
        <w:t>FAO</w:t>
      </w:r>
      <w:r w:rsidR="00CE115A">
        <w:t xml:space="preserve"> and IADB add coverage of </w:t>
      </w:r>
      <w:proofErr w:type="gramStart"/>
      <w:r w:rsidR="00CE115A">
        <w:t>a number of</w:t>
      </w:r>
      <w:proofErr w:type="gramEnd"/>
      <w:r w:rsidR="00CE115A">
        <w:t xml:space="preserve"> countries in Africa and in the Americas where own-country incentives have important implications for poor people.</w:t>
      </w:r>
      <w:r w:rsidR="000C1261">
        <w:t xml:space="preserve"> </w:t>
      </w:r>
      <w:r w:rsidR="000C1261" w:rsidRPr="0023623F">
        <w:t xml:space="preserve">The goals of the </w:t>
      </w:r>
      <w:r w:rsidR="008C286C">
        <w:t>C</w:t>
      </w:r>
      <w:r w:rsidR="000C1261" w:rsidRPr="0023623F">
        <w:t>onsortium</w:t>
      </w:r>
      <w:r w:rsidR="008C286C">
        <w:t>,</w:t>
      </w:r>
      <w:r w:rsidR="000C1261" w:rsidRPr="0023623F">
        <w:t xml:space="preserve"> therefore</w:t>
      </w:r>
      <w:r w:rsidR="008C286C">
        <w:t>,</w:t>
      </w:r>
      <w:r w:rsidR="000C1261" w:rsidRPr="0023623F">
        <w:t xml:space="preserve"> include maintaining the mandate and the independency of each IO, </w:t>
      </w:r>
      <w:r w:rsidR="008C286C">
        <w:t xml:space="preserve">and </w:t>
      </w:r>
      <w:r w:rsidR="000C1261" w:rsidRPr="0023623F">
        <w:t xml:space="preserve">creating a collaborative approach for database, with a clear recognition of </w:t>
      </w:r>
      <w:r w:rsidR="00111CC7">
        <w:t>the intellectual property rights of each partner.</w:t>
      </w:r>
    </w:p>
    <w:p w14:paraId="3FB99C29" w14:textId="77777777" w:rsidR="00D22369" w:rsidRPr="008473A0" w:rsidRDefault="00D22369" w:rsidP="008473A0">
      <w:pPr>
        <w:tabs>
          <w:tab w:val="left" w:pos="540"/>
        </w:tabs>
        <w:spacing w:after="120"/>
      </w:pPr>
    </w:p>
    <w:p w14:paraId="28118892" w14:textId="77777777" w:rsidR="00EB5617" w:rsidRDefault="00EB5617">
      <w:pPr>
        <w:rPr>
          <w:b/>
        </w:rPr>
      </w:pPr>
      <w:r>
        <w:rPr>
          <w:b/>
        </w:rPr>
        <w:br w:type="page"/>
      </w:r>
    </w:p>
    <w:p w14:paraId="4EA8BA05" w14:textId="59BC4E37" w:rsidR="008473A0" w:rsidRPr="009E56E7" w:rsidRDefault="009E56E7" w:rsidP="008473A0">
      <w:pPr>
        <w:rPr>
          <w:i/>
        </w:rPr>
      </w:pPr>
      <w:r w:rsidRPr="00040B4E">
        <w:rPr>
          <w:b/>
        </w:rPr>
        <w:lastRenderedPageBreak/>
        <w:t>Table 1</w:t>
      </w:r>
      <w:r>
        <w:t xml:space="preserve">: </w:t>
      </w:r>
      <w:r w:rsidRPr="009E56E7">
        <w:rPr>
          <w:i/>
        </w:rPr>
        <w:t>C</w:t>
      </w:r>
      <w:r w:rsidR="008473A0" w:rsidRPr="009E56E7">
        <w:rPr>
          <w:i/>
        </w:rPr>
        <w:t xml:space="preserve">ountry </w:t>
      </w:r>
      <w:r w:rsidRPr="009E56E7">
        <w:rPr>
          <w:i/>
        </w:rPr>
        <w:t xml:space="preserve">and </w:t>
      </w:r>
      <w:r w:rsidR="008473A0" w:rsidRPr="009E56E7">
        <w:rPr>
          <w:i/>
        </w:rPr>
        <w:t xml:space="preserve">commodity coverage </w:t>
      </w:r>
      <w:r w:rsidRPr="009E56E7">
        <w:rPr>
          <w:i/>
        </w:rPr>
        <w:t>by IOs</w:t>
      </w:r>
      <w:r w:rsidR="00D22369" w:rsidRPr="009E56E7">
        <w:rPr>
          <w:i/>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3"/>
        <w:gridCol w:w="1463"/>
        <w:gridCol w:w="1350"/>
        <w:gridCol w:w="1530"/>
        <w:gridCol w:w="2081"/>
      </w:tblGrid>
      <w:tr w:rsidR="00EB5617" w:rsidRPr="001C6BC7" w14:paraId="24F3FF25" w14:textId="77777777" w:rsidTr="00EB5617">
        <w:trPr>
          <w:trHeight w:val="300"/>
        </w:trPr>
        <w:tc>
          <w:tcPr>
            <w:tcW w:w="1923" w:type="dxa"/>
            <w:shd w:val="clear" w:color="auto" w:fill="auto"/>
            <w:noWrap/>
            <w:vAlign w:val="center"/>
            <w:hideMark/>
          </w:tcPr>
          <w:p w14:paraId="39F52596" w14:textId="77777777" w:rsidR="00EB5617" w:rsidRPr="00FD3865" w:rsidRDefault="00EB5617" w:rsidP="00E1788B">
            <w:pPr>
              <w:rPr>
                <w:b/>
                <w:bCs/>
              </w:rPr>
            </w:pPr>
            <w:r w:rsidRPr="00FD3865">
              <w:rPr>
                <w:b/>
                <w:bCs/>
              </w:rPr>
              <w:t> International Organization</w:t>
            </w:r>
          </w:p>
        </w:tc>
        <w:tc>
          <w:tcPr>
            <w:tcW w:w="1463" w:type="dxa"/>
            <w:shd w:val="clear" w:color="auto" w:fill="auto"/>
            <w:noWrap/>
            <w:vAlign w:val="center"/>
            <w:hideMark/>
          </w:tcPr>
          <w:p w14:paraId="0CAFC82F" w14:textId="77777777" w:rsidR="00EB5617" w:rsidRPr="00FD3865" w:rsidRDefault="00EB5617" w:rsidP="00E1788B">
            <w:pPr>
              <w:rPr>
                <w:b/>
                <w:bCs/>
              </w:rPr>
            </w:pPr>
            <w:r w:rsidRPr="00FD3865">
              <w:rPr>
                <w:b/>
                <w:bCs/>
              </w:rPr>
              <w:t>Economic Clusters Covered</w:t>
            </w:r>
          </w:p>
        </w:tc>
        <w:tc>
          <w:tcPr>
            <w:tcW w:w="1350" w:type="dxa"/>
            <w:shd w:val="clear" w:color="auto" w:fill="auto"/>
            <w:noWrap/>
            <w:vAlign w:val="center"/>
            <w:hideMark/>
          </w:tcPr>
          <w:p w14:paraId="4E9F5AA3" w14:textId="77777777" w:rsidR="00EB5617" w:rsidRPr="00FD3865" w:rsidRDefault="00EB5617" w:rsidP="00E1788B">
            <w:pPr>
              <w:rPr>
                <w:b/>
                <w:bCs/>
              </w:rPr>
            </w:pPr>
            <w:r w:rsidRPr="00FD3865">
              <w:rPr>
                <w:b/>
                <w:bCs/>
              </w:rPr>
              <w:t>Number of countries</w:t>
            </w:r>
          </w:p>
        </w:tc>
        <w:tc>
          <w:tcPr>
            <w:tcW w:w="1530" w:type="dxa"/>
            <w:shd w:val="clear" w:color="auto" w:fill="auto"/>
            <w:noWrap/>
            <w:vAlign w:val="center"/>
            <w:hideMark/>
          </w:tcPr>
          <w:p w14:paraId="5264F575" w14:textId="77777777" w:rsidR="00EB5617" w:rsidRPr="00FD3865" w:rsidRDefault="00EB5617" w:rsidP="00A2535C">
            <w:pPr>
              <w:rPr>
                <w:b/>
                <w:bCs/>
              </w:rPr>
            </w:pPr>
            <w:r w:rsidRPr="00FD3865">
              <w:rPr>
                <w:b/>
                <w:bCs/>
              </w:rPr>
              <w:t>Time Period</w:t>
            </w:r>
          </w:p>
        </w:tc>
        <w:tc>
          <w:tcPr>
            <w:tcW w:w="2081" w:type="dxa"/>
            <w:shd w:val="clear" w:color="auto" w:fill="auto"/>
            <w:noWrap/>
            <w:vAlign w:val="center"/>
            <w:hideMark/>
          </w:tcPr>
          <w:p w14:paraId="062965F8" w14:textId="77777777" w:rsidR="00EB5617" w:rsidRPr="00FD3865" w:rsidRDefault="00EB5617" w:rsidP="00C53230">
            <w:pPr>
              <w:rPr>
                <w:b/>
                <w:bCs/>
              </w:rPr>
            </w:pPr>
            <w:r w:rsidRPr="00FD3865">
              <w:rPr>
                <w:b/>
                <w:bCs/>
              </w:rPr>
              <w:t>Total Commodities</w:t>
            </w:r>
          </w:p>
        </w:tc>
      </w:tr>
      <w:tr w:rsidR="00EB5617" w:rsidRPr="001C6BC7" w14:paraId="0927EB29" w14:textId="77777777" w:rsidTr="00EB5617">
        <w:trPr>
          <w:trHeight w:val="300"/>
        </w:trPr>
        <w:tc>
          <w:tcPr>
            <w:tcW w:w="1923" w:type="dxa"/>
            <w:shd w:val="clear" w:color="auto" w:fill="auto"/>
            <w:noWrap/>
            <w:vAlign w:val="center"/>
            <w:hideMark/>
          </w:tcPr>
          <w:p w14:paraId="3F8FE36B" w14:textId="77777777" w:rsidR="00EB5617" w:rsidRPr="00FD3865" w:rsidRDefault="00EB5617" w:rsidP="00E1788B">
            <w:pPr>
              <w:rPr>
                <w:bCs/>
              </w:rPr>
            </w:pPr>
            <w:r w:rsidRPr="00FD3865">
              <w:rPr>
                <w:bCs/>
              </w:rPr>
              <w:t>OECD</w:t>
            </w:r>
          </w:p>
        </w:tc>
        <w:tc>
          <w:tcPr>
            <w:tcW w:w="1463" w:type="dxa"/>
            <w:shd w:val="clear" w:color="auto" w:fill="auto"/>
            <w:noWrap/>
            <w:vAlign w:val="center"/>
            <w:hideMark/>
          </w:tcPr>
          <w:p w14:paraId="0E144376" w14:textId="77777777" w:rsidR="00EB5617" w:rsidRPr="001C6BC7" w:rsidRDefault="00EB5617" w:rsidP="00E1788B">
            <w:r w:rsidRPr="001C6BC7">
              <w:t>OECD + Emerging</w:t>
            </w:r>
          </w:p>
        </w:tc>
        <w:tc>
          <w:tcPr>
            <w:tcW w:w="1350" w:type="dxa"/>
            <w:shd w:val="clear" w:color="auto" w:fill="auto"/>
            <w:noWrap/>
            <w:vAlign w:val="center"/>
            <w:hideMark/>
          </w:tcPr>
          <w:p w14:paraId="3A6CB333" w14:textId="2B350421" w:rsidR="00EB5617" w:rsidRPr="001C6BC7" w:rsidRDefault="00EB5617" w:rsidP="00E1788B">
            <w:r w:rsidRPr="001C6BC7">
              <w:t>2</w:t>
            </w:r>
            <w:r>
              <w:t>8*</w:t>
            </w:r>
          </w:p>
        </w:tc>
        <w:tc>
          <w:tcPr>
            <w:tcW w:w="1530" w:type="dxa"/>
            <w:shd w:val="clear" w:color="auto" w:fill="auto"/>
            <w:noWrap/>
            <w:vAlign w:val="center"/>
            <w:hideMark/>
          </w:tcPr>
          <w:p w14:paraId="7723813E" w14:textId="2BEC2E12" w:rsidR="00EB5617" w:rsidRPr="001C6BC7" w:rsidRDefault="00EB5617" w:rsidP="00A2535C">
            <w:r w:rsidRPr="001C6BC7">
              <w:t>1986-20</w:t>
            </w:r>
            <w:r>
              <w:t>21</w:t>
            </w:r>
          </w:p>
        </w:tc>
        <w:tc>
          <w:tcPr>
            <w:tcW w:w="2081" w:type="dxa"/>
            <w:shd w:val="clear" w:color="auto" w:fill="auto"/>
            <w:noWrap/>
            <w:vAlign w:val="center"/>
            <w:hideMark/>
          </w:tcPr>
          <w:p w14:paraId="28221FEF" w14:textId="1EB03857" w:rsidR="00EB5617" w:rsidRPr="001C6BC7" w:rsidRDefault="00EB5617" w:rsidP="00C53230">
            <w:r>
              <w:t xml:space="preserve">67 </w:t>
            </w:r>
            <w:proofErr w:type="gramStart"/>
            <w:r>
              <w:t>individual</w:t>
            </w:r>
            <w:proofErr w:type="gramEnd"/>
            <w:r>
              <w:t xml:space="preserve">, NONMPS, </w:t>
            </w:r>
            <w:r w:rsidRPr="001C6BC7">
              <w:t>Total</w:t>
            </w:r>
          </w:p>
        </w:tc>
      </w:tr>
      <w:tr w:rsidR="00EB5617" w:rsidRPr="001C6BC7" w14:paraId="5C81B280" w14:textId="77777777" w:rsidTr="00EB5617">
        <w:trPr>
          <w:trHeight w:val="300"/>
        </w:trPr>
        <w:tc>
          <w:tcPr>
            <w:tcW w:w="1923" w:type="dxa"/>
            <w:shd w:val="clear" w:color="auto" w:fill="auto"/>
            <w:noWrap/>
            <w:vAlign w:val="center"/>
            <w:hideMark/>
          </w:tcPr>
          <w:p w14:paraId="5B752709" w14:textId="77777777" w:rsidR="00EB5617" w:rsidRPr="00FD3865" w:rsidRDefault="00EB5617" w:rsidP="00E1788B">
            <w:pPr>
              <w:rPr>
                <w:bCs/>
              </w:rPr>
            </w:pPr>
            <w:r w:rsidRPr="00FD3865">
              <w:rPr>
                <w:bCs/>
              </w:rPr>
              <w:t>FAO-MAFAP</w:t>
            </w:r>
          </w:p>
        </w:tc>
        <w:tc>
          <w:tcPr>
            <w:tcW w:w="1463" w:type="dxa"/>
            <w:shd w:val="clear" w:color="auto" w:fill="auto"/>
            <w:noWrap/>
            <w:vAlign w:val="center"/>
            <w:hideMark/>
          </w:tcPr>
          <w:p w14:paraId="38676561" w14:textId="7CD5006F" w:rsidR="00EB5617" w:rsidRPr="001C6BC7" w:rsidRDefault="00EB5617" w:rsidP="00E1788B">
            <w:proofErr w:type="gramStart"/>
            <w:r w:rsidRPr="001C6BC7">
              <w:t>Selected  African</w:t>
            </w:r>
            <w:proofErr w:type="gramEnd"/>
            <w:r>
              <w:t xml:space="preserve"> countries and Bangladesh from South Asia</w:t>
            </w:r>
          </w:p>
        </w:tc>
        <w:tc>
          <w:tcPr>
            <w:tcW w:w="1350" w:type="dxa"/>
            <w:shd w:val="clear" w:color="auto" w:fill="auto"/>
            <w:noWrap/>
            <w:vAlign w:val="center"/>
            <w:hideMark/>
          </w:tcPr>
          <w:p w14:paraId="71A8FD4C" w14:textId="696E263D" w:rsidR="00EB5617" w:rsidRPr="001C6BC7" w:rsidRDefault="00EB5617" w:rsidP="00E1788B">
            <w:r>
              <w:t>18</w:t>
            </w:r>
          </w:p>
        </w:tc>
        <w:tc>
          <w:tcPr>
            <w:tcW w:w="1530" w:type="dxa"/>
            <w:shd w:val="clear" w:color="auto" w:fill="auto"/>
            <w:noWrap/>
            <w:vAlign w:val="center"/>
            <w:hideMark/>
          </w:tcPr>
          <w:p w14:paraId="7B0A3C40" w14:textId="41BDDAAF" w:rsidR="00EB5617" w:rsidRPr="001C6BC7" w:rsidRDefault="00EB5617" w:rsidP="00A2535C">
            <w:r w:rsidRPr="001C6BC7">
              <w:t>2005-20</w:t>
            </w:r>
            <w:r>
              <w:t>21</w:t>
            </w:r>
          </w:p>
        </w:tc>
        <w:tc>
          <w:tcPr>
            <w:tcW w:w="2081" w:type="dxa"/>
            <w:shd w:val="clear" w:color="auto" w:fill="auto"/>
            <w:noWrap/>
            <w:vAlign w:val="center"/>
            <w:hideMark/>
          </w:tcPr>
          <w:p w14:paraId="52B655F7" w14:textId="2B7B5453" w:rsidR="00EB5617" w:rsidRPr="001C6BC7" w:rsidRDefault="00EB5617" w:rsidP="00C53230">
            <w:r>
              <w:t xml:space="preserve">32 </w:t>
            </w:r>
            <w:proofErr w:type="gramStart"/>
            <w:r>
              <w:t>individual</w:t>
            </w:r>
            <w:proofErr w:type="gramEnd"/>
          </w:p>
        </w:tc>
      </w:tr>
      <w:tr w:rsidR="00EB5617" w:rsidRPr="001C6BC7" w14:paraId="725334D1" w14:textId="77777777" w:rsidTr="00EB5617">
        <w:trPr>
          <w:trHeight w:val="300"/>
        </w:trPr>
        <w:tc>
          <w:tcPr>
            <w:tcW w:w="1923" w:type="dxa"/>
            <w:shd w:val="clear" w:color="auto" w:fill="auto"/>
            <w:noWrap/>
            <w:vAlign w:val="center"/>
            <w:hideMark/>
          </w:tcPr>
          <w:p w14:paraId="76A9D241" w14:textId="77777777" w:rsidR="00EB5617" w:rsidRPr="00FD3865" w:rsidRDefault="00EB5617" w:rsidP="00E1788B">
            <w:pPr>
              <w:rPr>
                <w:bCs/>
              </w:rPr>
            </w:pPr>
            <w:r w:rsidRPr="00FD3865">
              <w:rPr>
                <w:bCs/>
              </w:rPr>
              <w:t>IDB-AGRIMONITOR</w:t>
            </w:r>
          </w:p>
        </w:tc>
        <w:tc>
          <w:tcPr>
            <w:tcW w:w="1463" w:type="dxa"/>
            <w:shd w:val="clear" w:color="auto" w:fill="auto"/>
            <w:noWrap/>
            <w:vAlign w:val="center"/>
            <w:hideMark/>
          </w:tcPr>
          <w:p w14:paraId="6BF40E2F" w14:textId="77777777" w:rsidR="00EB5617" w:rsidRPr="001C6BC7" w:rsidRDefault="00EB5617" w:rsidP="00E1788B">
            <w:r w:rsidRPr="001C6BC7">
              <w:t>Latin America</w:t>
            </w:r>
            <w:r>
              <w:t xml:space="preserve"> and Caribbean</w:t>
            </w:r>
          </w:p>
        </w:tc>
        <w:tc>
          <w:tcPr>
            <w:tcW w:w="1350" w:type="dxa"/>
            <w:shd w:val="clear" w:color="auto" w:fill="auto"/>
            <w:noWrap/>
            <w:vAlign w:val="center"/>
            <w:hideMark/>
          </w:tcPr>
          <w:p w14:paraId="0CD1039C" w14:textId="355ECB72" w:rsidR="00EB5617" w:rsidRPr="001C6BC7" w:rsidRDefault="00EB5617" w:rsidP="00E1788B">
            <w:r w:rsidRPr="001C6BC7">
              <w:t>1</w:t>
            </w:r>
            <w:r>
              <w:t>9</w:t>
            </w:r>
          </w:p>
        </w:tc>
        <w:tc>
          <w:tcPr>
            <w:tcW w:w="1530" w:type="dxa"/>
            <w:shd w:val="clear" w:color="auto" w:fill="auto"/>
            <w:noWrap/>
            <w:vAlign w:val="center"/>
            <w:hideMark/>
          </w:tcPr>
          <w:p w14:paraId="498425C1" w14:textId="10AF9F58" w:rsidR="00EB5617" w:rsidRPr="001C6BC7" w:rsidRDefault="00EB5617" w:rsidP="00A2535C">
            <w:r w:rsidRPr="001C6BC7">
              <w:t>2004-20</w:t>
            </w:r>
            <w:r>
              <w:t>20</w:t>
            </w:r>
          </w:p>
        </w:tc>
        <w:tc>
          <w:tcPr>
            <w:tcW w:w="2081" w:type="dxa"/>
            <w:shd w:val="clear" w:color="auto" w:fill="auto"/>
            <w:noWrap/>
            <w:vAlign w:val="center"/>
            <w:hideMark/>
          </w:tcPr>
          <w:p w14:paraId="6DA92BC9" w14:textId="3C80BF06" w:rsidR="00EB5617" w:rsidRPr="001C6BC7" w:rsidRDefault="00EB5617" w:rsidP="00C53230">
            <w:r>
              <w:t xml:space="preserve">46 </w:t>
            </w:r>
            <w:proofErr w:type="gramStart"/>
            <w:r>
              <w:t>individual</w:t>
            </w:r>
            <w:proofErr w:type="gramEnd"/>
          </w:p>
        </w:tc>
      </w:tr>
      <w:tr w:rsidR="00EB5617" w:rsidRPr="001C6BC7" w14:paraId="0C9D8B47" w14:textId="77777777" w:rsidTr="00EB5617">
        <w:trPr>
          <w:trHeight w:val="300"/>
        </w:trPr>
        <w:tc>
          <w:tcPr>
            <w:tcW w:w="1923" w:type="dxa"/>
            <w:shd w:val="clear" w:color="auto" w:fill="auto"/>
            <w:noWrap/>
            <w:vAlign w:val="center"/>
          </w:tcPr>
          <w:p w14:paraId="7D1E2005" w14:textId="77777777" w:rsidR="00EB5617" w:rsidRPr="00FD3865" w:rsidRDefault="00EB5617" w:rsidP="00E1788B">
            <w:pPr>
              <w:rPr>
                <w:bCs/>
              </w:rPr>
            </w:pPr>
            <w:r>
              <w:rPr>
                <w:bCs/>
              </w:rPr>
              <w:t>World Bank</w:t>
            </w:r>
          </w:p>
        </w:tc>
        <w:tc>
          <w:tcPr>
            <w:tcW w:w="1463" w:type="dxa"/>
            <w:shd w:val="clear" w:color="auto" w:fill="auto"/>
            <w:noWrap/>
            <w:vAlign w:val="center"/>
          </w:tcPr>
          <w:p w14:paraId="07BF67D1" w14:textId="77777777" w:rsidR="00EB5617" w:rsidRPr="001C6BC7" w:rsidRDefault="00EB5617" w:rsidP="00E1788B">
            <w:r>
              <w:t>South Asia</w:t>
            </w:r>
          </w:p>
        </w:tc>
        <w:tc>
          <w:tcPr>
            <w:tcW w:w="1350" w:type="dxa"/>
            <w:shd w:val="clear" w:color="auto" w:fill="auto"/>
            <w:noWrap/>
            <w:vAlign w:val="center"/>
          </w:tcPr>
          <w:p w14:paraId="54FE641D" w14:textId="322D0AAB" w:rsidR="00EB5617" w:rsidRPr="001C6BC7" w:rsidRDefault="00EB5617" w:rsidP="00E1788B">
            <w:r>
              <w:t>2</w:t>
            </w:r>
          </w:p>
        </w:tc>
        <w:tc>
          <w:tcPr>
            <w:tcW w:w="1530" w:type="dxa"/>
            <w:shd w:val="clear" w:color="auto" w:fill="auto"/>
            <w:noWrap/>
            <w:vAlign w:val="center"/>
          </w:tcPr>
          <w:p w14:paraId="3E53864D" w14:textId="274DDE2B" w:rsidR="00EB5617" w:rsidRPr="001C6BC7" w:rsidRDefault="00EB5617" w:rsidP="00A2535C">
            <w:r>
              <w:t>2004-2014</w:t>
            </w:r>
          </w:p>
        </w:tc>
        <w:tc>
          <w:tcPr>
            <w:tcW w:w="2081" w:type="dxa"/>
            <w:shd w:val="clear" w:color="auto" w:fill="auto"/>
            <w:noWrap/>
            <w:vAlign w:val="center"/>
          </w:tcPr>
          <w:p w14:paraId="255402AE" w14:textId="77777777" w:rsidR="00EB5617" w:rsidRPr="001C6BC7" w:rsidRDefault="00EB5617" w:rsidP="00C53230"/>
        </w:tc>
      </w:tr>
    </w:tbl>
    <w:p w14:paraId="12F4CBB5" w14:textId="04FF1286" w:rsidR="008473A0" w:rsidRPr="001C6BC7" w:rsidRDefault="008473A0" w:rsidP="008473A0">
      <w:r w:rsidRPr="001C6BC7">
        <w:t>Note: Not all countries report all data for all commodities</w:t>
      </w:r>
      <w:r>
        <w:t xml:space="preserve"> </w:t>
      </w:r>
      <w:r w:rsidR="00FC2816">
        <w:t xml:space="preserve">listed </w:t>
      </w:r>
      <w:r>
        <w:t>and all years</w:t>
      </w:r>
      <w:r w:rsidR="009D2CA6">
        <w:t>. *</w:t>
      </w:r>
      <w:r w:rsidR="00654029">
        <w:t xml:space="preserve"> </w:t>
      </w:r>
      <w:r w:rsidR="009D2CA6">
        <w:t>Including the EU</w:t>
      </w:r>
      <w:r w:rsidR="00654029">
        <w:t>2</w:t>
      </w:r>
      <w:r w:rsidR="00F10346">
        <w:t>7</w:t>
      </w:r>
      <w:r w:rsidR="00654029">
        <w:t>.</w:t>
      </w:r>
    </w:p>
    <w:p w14:paraId="543798F9" w14:textId="49CC3A6F" w:rsidR="008C286C" w:rsidRDefault="000B2205" w:rsidP="00E1788B">
      <w:pPr>
        <w:tabs>
          <w:tab w:val="left" w:pos="547"/>
        </w:tabs>
        <w:spacing w:after="120"/>
      </w:pPr>
      <w:r>
        <w:t xml:space="preserve">Source: </w:t>
      </w:r>
      <w:proofErr w:type="spellStart"/>
      <w:r>
        <w:t>Ag</w:t>
      </w:r>
      <w:r w:rsidR="004E29F3">
        <w:t>I</w:t>
      </w:r>
      <w:r>
        <w:t>ncentives</w:t>
      </w:r>
      <w:proofErr w:type="spellEnd"/>
      <w:r>
        <w:t xml:space="preserve"> database</w:t>
      </w:r>
    </w:p>
    <w:p w14:paraId="18C25B91" w14:textId="77777777" w:rsidR="00891B4F" w:rsidRDefault="00891B4F" w:rsidP="00CE115A">
      <w:pPr>
        <w:tabs>
          <w:tab w:val="left" w:pos="547"/>
        </w:tabs>
        <w:spacing w:after="120" w:line="360" w:lineRule="auto"/>
      </w:pPr>
    </w:p>
    <w:p w14:paraId="73F46777" w14:textId="6342E7C5" w:rsidR="00273953" w:rsidRPr="0023623F" w:rsidRDefault="008C286C" w:rsidP="00CE115A">
      <w:pPr>
        <w:tabs>
          <w:tab w:val="left" w:pos="547"/>
        </w:tabs>
        <w:spacing w:after="120" w:line="360" w:lineRule="auto"/>
      </w:pPr>
      <w:r>
        <w:tab/>
      </w:r>
      <w:r w:rsidR="00273953" w:rsidRPr="0023623F">
        <w:t xml:space="preserve">The initial focus </w:t>
      </w:r>
      <w:r>
        <w:t xml:space="preserve">of the Consortium </w:t>
      </w:r>
      <w:r w:rsidR="00273953" w:rsidRPr="0023623F">
        <w:t xml:space="preserve">has been on price distortions, with a consolidated indicator based on each IO database. </w:t>
      </w:r>
      <w:r w:rsidR="00140F08">
        <w:t xml:space="preserve">We selected </w:t>
      </w:r>
      <w:r w:rsidR="00AF793F">
        <w:t xml:space="preserve">to compute the </w:t>
      </w:r>
      <w:r w:rsidR="00273953" w:rsidRPr="0023623F">
        <w:t>NRP, based on Krueger</w:t>
      </w:r>
      <w:r w:rsidR="001969D7">
        <w:t>, Schiff, and Valdes</w:t>
      </w:r>
      <w:r>
        <w:t xml:space="preserve"> </w:t>
      </w:r>
      <w:r w:rsidR="00273953" w:rsidRPr="0023623F">
        <w:t xml:space="preserve">(1988). </w:t>
      </w:r>
      <w:r w:rsidR="00AF793F">
        <w:t xml:space="preserve">As noted above, the </w:t>
      </w:r>
      <w:r w:rsidR="00273953" w:rsidRPr="0023623F">
        <w:t>NRP is the ratio between the price gap and the observed reference price measured at the same point in the value chain.</w:t>
      </w:r>
    </w:p>
    <w:p w14:paraId="0232265D" w14:textId="77777777" w:rsidR="008C286C" w:rsidRDefault="007E7318" w:rsidP="00CE115A">
      <w:pPr>
        <w:tabs>
          <w:tab w:val="left" w:pos="547"/>
        </w:tabs>
        <w:spacing w:line="360" w:lineRule="auto"/>
        <w:rPr>
          <w:bCs/>
        </w:rPr>
      </w:pPr>
      <w:r>
        <w:rPr>
          <w:color w:val="000000"/>
        </w:rPr>
        <w:tab/>
      </w:r>
      <w:r w:rsidR="00273953" w:rsidRPr="00273953">
        <w:rPr>
          <w:color w:val="000000"/>
        </w:rPr>
        <w:t xml:space="preserve">We use the method for </w:t>
      </w:r>
      <w:r w:rsidR="008C286C">
        <w:rPr>
          <w:color w:val="000000"/>
        </w:rPr>
        <w:t>D</w:t>
      </w:r>
      <w:r w:rsidR="00273953" w:rsidRPr="00273953">
        <w:rPr>
          <w:color w:val="000000"/>
        </w:rPr>
        <w:t xml:space="preserve">irect NRP from Krueger, Schiff, Valdes (1988) to </w:t>
      </w:r>
      <w:r w:rsidR="00C81C41">
        <w:rPr>
          <w:color w:val="000000"/>
        </w:rPr>
        <w:t>create a consolidated NRP with the underlying price metadata from IOs.</w:t>
      </w:r>
      <w:r w:rsidR="00C81C41">
        <w:rPr>
          <w:bCs/>
        </w:rPr>
        <w:t xml:space="preserve"> </w:t>
      </w:r>
      <w:r w:rsidR="008C286C">
        <w:rPr>
          <w:bCs/>
        </w:rPr>
        <w:t xml:space="preserve">We also compute average NRPs for the agricultural sector </w:t>
      </w:r>
      <w:r w:rsidR="000C31C3">
        <w:rPr>
          <w:bCs/>
        </w:rPr>
        <w:t xml:space="preserve">of </w:t>
      </w:r>
      <w:r w:rsidR="00AF793F">
        <w:rPr>
          <w:bCs/>
        </w:rPr>
        <w:t>countries</w:t>
      </w:r>
      <w:r w:rsidR="008C286C">
        <w:rPr>
          <w:bCs/>
        </w:rPr>
        <w:t xml:space="preserve">, and </w:t>
      </w:r>
      <w:r w:rsidR="00CE115A">
        <w:rPr>
          <w:bCs/>
        </w:rPr>
        <w:t>a</w:t>
      </w:r>
      <w:r w:rsidR="00AF793F">
        <w:rPr>
          <w:bCs/>
        </w:rPr>
        <w:t xml:space="preserve"> </w:t>
      </w:r>
      <w:r w:rsidR="008C286C">
        <w:rPr>
          <w:bCs/>
        </w:rPr>
        <w:t>global NRP for commodit</w:t>
      </w:r>
      <w:r w:rsidR="00AF793F">
        <w:rPr>
          <w:bCs/>
        </w:rPr>
        <w:t>ies</w:t>
      </w:r>
      <w:r w:rsidR="008C286C">
        <w:rPr>
          <w:bCs/>
        </w:rPr>
        <w:t>.</w:t>
      </w:r>
    </w:p>
    <w:p w14:paraId="670247B1" w14:textId="77777777" w:rsidR="00873AA9" w:rsidRDefault="00873AA9" w:rsidP="008D73A5">
      <w:pPr>
        <w:tabs>
          <w:tab w:val="left" w:pos="1080"/>
        </w:tabs>
        <w:spacing w:after="120"/>
        <w:rPr>
          <w:iCs/>
        </w:rPr>
      </w:pPr>
    </w:p>
    <w:p w14:paraId="58F66113" w14:textId="111B7FCB" w:rsidR="008D73A5" w:rsidRPr="00454FE6" w:rsidRDefault="00873AA9" w:rsidP="008D73A5">
      <w:pPr>
        <w:tabs>
          <w:tab w:val="left" w:pos="1080"/>
        </w:tabs>
        <w:spacing w:after="120"/>
      </w:pPr>
      <w:r>
        <w:rPr>
          <w:iCs/>
        </w:rPr>
        <w:t>(5)</w:t>
      </w:r>
      <w:r w:rsidR="008D73A5">
        <w:rPr>
          <w:i/>
        </w:rPr>
        <w:tab/>
        <w:t>NRP</w:t>
      </w:r>
      <w:r w:rsidR="000658EE">
        <w:rPr>
          <w:i/>
          <w:vertAlign w:val="subscript"/>
        </w:rPr>
        <w:t xml:space="preserve">TOTAL     </w:t>
      </w:r>
      <w:r w:rsidR="008D73A5" w:rsidRPr="00986794">
        <w:rPr>
          <w:i/>
        </w:rPr>
        <w:t xml:space="preserve">= </w:t>
      </w:r>
      <w:proofErr w:type="gramStart"/>
      <w:r w:rsidR="008D73A5" w:rsidRPr="00CE115A">
        <w:t>( (</w:t>
      </w:r>
      <w:proofErr w:type="gramEnd"/>
      <w:r w:rsidR="008D73A5">
        <w:rPr>
          <w:i/>
        </w:rPr>
        <w:t xml:space="preserve"> </w:t>
      </w:r>
      <w:proofErr w:type="spellStart"/>
      <w:r w:rsidR="008D73A5">
        <w:rPr>
          <w:i/>
        </w:rPr>
        <w:t>sum</w:t>
      </w:r>
      <w:r w:rsidR="00FA08AE">
        <w:rPr>
          <w:i/>
          <w:vertAlign w:val="subscript"/>
        </w:rPr>
        <w:t>c</w:t>
      </w:r>
      <w:proofErr w:type="spellEnd"/>
      <w:r w:rsidR="008D73A5" w:rsidRPr="00CE115A">
        <w:t>(</w:t>
      </w:r>
      <w:proofErr w:type="spellStart"/>
      <w:r w:rsidR="008D73A5">
        <w:rPr>
          <w:i/>
        </w:rPr>
        <w:t>PP</w:t>
      </w:r>
      <w:r w:rsidR="00FA08AE">
        <w:rPr>
          <w:i/>
          <w:vertAlign w:val="subscript"/>
        </w:rPr>
        <w:t>c</w:t>
      </w:r>
      <w:proofErr w:type="spellEnd"/>
      <w:r w:rsidR="008D73A5">
        <w:rPr>
          <w:i/>
        </w:rPr>
        <w:t>*Q</w:t>
      </w:r>
      <w:r w:rsidR="00FA08AE">
        <w:rPr>
          <w:i/>
          <w:vertAlign w:val="subscript"/>
        </w:rPr>
        <w:t>c</w:t>
      </w:r>
      <w:r w:rsidR="008D73A5" w:rsidRPr="00CE115A">
        <w:t>)/</w:t>
      </w:r>
      <w:r w:rsidR="008D73A5" w:rsidRPr="00986794">
        <w:rPr>
          <w:i/>
        </w:rPr>
        <w:t xml:space="preserve"> </w:t>
      </w:r>
      <w:proofErr w:type="spellStart"/>
      <w:r w:rsidR="008D73A5">
        <w:rPr>
          <w:i/>
        </w:rPr>
        <w:t>sum</w:t>
      </w:r>
      <w:r w:rsidR="00FA08AE">
        <w:rPr>
          <w:i/>
          <w:vertAlign w:val="subscript"/>
        </w:rPr>
        <w:t>c</w:t>
      </w:r>
      <w:proofErr w:type="spellEnd"/>
      <w:r w:rsidR="008D73A5">
        <w:rPr>
          <w:i/>
          <w:vertAlign w:val="subscript"/>
        </w:rPr>
        <w:t xml:space="preserve"> </w:t>
      </w:r>
      <w:r w:rsidR="008D73A5" w:rsidRPr="00CE115A">
        <w:t>(</w:t>
      </w:r>
      <w:proofErr w:type="spellStart"/>
      <w:r w:rsidR="008D73A5">
        <w:rPr>
          <w:i/>
        </w:rPr>
        <w:t>RP</w:t>
      </w:r>
      <w:r w:rsidR="00FA08AE">
        <w:rPr>
          <w:i/>
          <w:vertAlign w:val="subscript"/>
        </w:rPr>
        <w:t>c</w:t>
      </w:r>
      <w:proofErr w:type="spellEnd"/>
      <w:r w:rsidR="008D73A5">
        <w:rPr>
          <w:i/>
          <w:vertAlign w:val="subscript"/>
        </w:rPr>
        <w:t xml:space="preserve"> </w:t>
      </w:r>
      <w:r w:rsidR="008D73A5">
        <w:rPr>
          <w:i/>
        </w:rPr>
        <w:t>*Q</w:t>
      </w:r>
      <w:r w:rsidR="00FA08AE">
        <w:rPr>
          <w:i/>
          <w:vertAlign w:val="subscript"/>
        </w:rPr>
        <w:t>c</w:t>
      </w:r>
      <w:r w:rsidR="008D73A5" w:rsidRPr="00CE115A">
        <w:t>) )</w:t>
      </w:r>
      <w:r w:rsidR="008D73A5" w:rsidRPr="00986794">
        <w:rPr>
          <w:i/>
        </w:rPr>
        <w:t xml:space="preserve"> – </w:t>
      </w:r>
      <w:r w:rsidR="008D73A5" w:rsidRPr="00CE115A">
        <w:t>1</w:t>
      </w:r>
      <w:r w:rsidR="008D73A5">
        <w:rPr>
          <w:i/>
        </w:rPr>
        <w:t xml:space="preserve"> </w:t>
      </w:r>
      <w:r w:rsidR="008D73A5" w:rsidRPr="00CE115A">
        <w:t>)</w:t>
      </w:r>
    </w:p>
    <w:p w14:paraId="3F6DB115" w14:textId="77777777" w:rsidR="00873AA9" w:rsidRDefault="00873AA9" w:rsidP="00CE115A">
      <w:pPr>
        <w:spacing w:line="360" w:lineRule="auto"/>
      </w:pPr>
    </w:p>
    <w:p w14:paraId="7EF704F2" w14:textId="7DA50996" w:rsidR="008D73A5" w:rsidRDefault="00CE115A" w:rsidP="00CE115A">
      <w:pPr>
        <w:spacing w:line="360" w:lineRule="auto"/>
      </w:pPr>
      <w:r>
        <w:t>where summation over c refers to the commodities for which we have estimates in a particular country.</w:t>
      </w:r>
    </w:p>
    <w:p w14:paraId="6585B019" w14:textId="77777777" w:rsidR="00CE115A" w:rsidRDefault="00CE115A" w:rsidP="007F5E92"/>
    <w:p w14:paraId="54C19668" w14:textId="62936E39" w:rsidR="004B7FAA" w:rsidRPr="00E47075" w:rsidRDefault="00873AA9" w:rsidP="00E47075">
      <w:pPr>
        <w:tabs>
          <w:tab w:val="left" w:pos="1080"/>
        </w:tabs>
        <w:spacing w:after="120"/>
        <w:ind w:left="1080" w:hanging="1080"/>
        <w:rPr>
          <w:i/>
        </w:rPr>
      </w:pPr>
      <w:r w:rsidRPr="00873AA9">
        <w:rPr>
          <w:bCs/>
        </w:rPr>
        <w:t>(6)</w:t>
      </w:r>
      <w:r w:rsidR="004B7FAA">
        <w:rPr>
          <w:b/>
        </w:rPr>
        <w:tab/>
      </w:r>
      <w:r w:rsidR="009C7473" w:rsidRPr="00E47075">
        <w:rPr>
          <w:i/>
        </w:rPr>
        <w:t>NRP</w:t>
      </w:r>
      <w:r w:rsidR="00CE115A">
        <w:rPr>
          <w:i/>
          <w:vertAlign w:val="subscript"/>
        </w:rPr>
        <w:t>COMMODITY</w:t>
      </w:r>
      <w:r w:rsidR="009C7473" w:rsidRPr="00E47075">
        <w:rPr>
          <w:i/>
        </w:rPr>
        <w:t xml:space="preserve"> = </w:t>
      </w:r>
      <w:proofErr w:type="gramStart"/>
      <w:r w:rsidR="004B7FAA" w:rsidRPr="00CE115A">
        <w:t>( (</w:t>
      </w:r>
      <w:proofErr w:type="gramEnd"/>
      <w:r w:rsidR="004B7FAA" w:rsidRPr="00E47075">
        <w:rPr>
          <w:i/>
        </w:rPr>
        <w:t xml:space="preserve"> sum</w:t>
      </w:r>
      <w:r w:rsidR="004B7FAA" w:rsidRPr="00E47075">
        <w:rPr>
          <w:i/>
          <w:vertAlign w:val="subscript"/>
        </w:rPr>
        <w:t>i</w:t>
      </w:r>
      <w:r w:rsidR="004B7FAA" w:rsidRPr="00CE115A">
        <w:t>(</w:t>
      </w:r>
      <w:proofErr w:type="spellStart"/>
      <w:r w:rsidR="004B7FAA" w:rsidRPr="00E47075">
        <w:rPr>
          <w:i/>
        </w:rPr>
        <w:t>PP</w:t>
      </w:r>
      <w:r w:rsidR="004B7FAA" w:rsidRPr="00E47075">
        <w:rPr>
          <w:i/>
          <w:vertAlign w:val="subscript"/>
        </w:rPr>
        <w:t>i</w:t>
      </w:r>
      <w:proofErr w:type="spellEnd"/>
      <w:r w:rsidR="004B7FAA" w:rsidRPr="00E47075">
        <w:rPr>
          <w:i/>
        </w:rPr>
        <w:t>*Q</w:t>
      </w:r>
      <w:r w:rsidR="004B7FAA" w:rsidRPr="00E47075">
        <w:rPr>
          <w:i/>
          <w:vertAlign w:val="subscript"/>
        </w:rPr>
        <w:t>i</w:t>
      </w:r>
      <w:r w:rsidR="004B7FAA" w:rsidRPr="00E47075">
        <w:rPr>
          <w:i/>
        </w:rPr>
        <w:t>)/ sum</w:t>
      </w:r>
      <w:r w:rsidR="004B7FAA" w:rsidRPr="00E47075">
        <w:rPr>
          <w:i/>
          <w:vertAlign w:val="subscript"/>
        </w:rPr>
        <w:t xml:space="preserve">i </w:t>
      </w:r>
      <w:r w:rsidR="004B7FAA" w:rsidRPr="00E47075">
        <w:rPr>
          <w:i/>
        </w:rPr>
        <w:t>(RP</w:t>
      </w:r>
      <w:r w:rsidR="004B7FAA" w:rsidRPr="00E47075">
        <w:rPr>
          <w:i/>
          <w:vertAlign w:val="subscript"/>
        </w:rPr>
        <w:t xml:space="preserve">i </w:t>
      </w:r>
      <w:r w:rsidR="004B7FAA" w:rsidRPr="00E47075">
        <w:rPr>
          <w:i/>
        </w:rPr>
        <w:t>*Q</w:t>
      </w:r>
      <w:r w:rsidR="004B7FAA" w:rsidRPr="00E47075">
        <w:rPr>
          <w:i/>
          <w:vertAlign w:val="subscript"/>
        </w:rPr>
        <w:t>i</w:t>
      </w:r>
      <w:r w:rsidR="004B7FAA" w:rsidRPr="00E47075">
        <w:rPr>
          <w:i/>
        </w:rPr>
        <w:t>) ) – 1 )</w:t>
      </w:r>
    </w:p>
    <w:p w14:paraId="21B40021" w14:textId="77777777" w:rsidR="009C7473" w:rsidRDefault="00CE115A" w:rsidP="007F5E92">
      <w:r>
        <w:t>where summation over index i refers to production of the commodity in different countries.</w:t>
      </w:r>
    </w:p>
    <w:p w14:paraId="76EFE1D7" w14:textId="77777777" w:rsidR="00C87261" w:rsidRDefault="004C3BDC" w:rsidP="00CE115A">
      <w:pPr>
        <w:tabs>
          <w:tab w:val="left" w:pos="547"/>
        </w:tabs>
        <w:spacing w:after="120" w:line="360" w:lineRule="auto"/>
      </w:pPr>
      <w:r>
        <w:tab/>
      </w:r>
    </w:p>
    <w:p w14:paraId="1175BE7E" w14:textId="257B662C" w:rsidR="00273953" w:rsidRDefault="00873AA9" w:rsidP="00CE115A">
      <w:pPr>
        <w:tabs>
          <w:tab w:val="left" w:pos="547"/>
        </w:tabs>
        <w:spacing w:after="120" w:line="360" w:lineRule="auto"/>
      </w:pPr>
      <w:r>
        <w:tab/>
      </w:r>
      <w:r w:rsidR="00AF7E60">
        <w:t>Because of the wide variety of policy instruments used to influence agricultural incentives</w:t>
      </w:r>
      <w:r w:rsidR="00013F26">
        <w:t xml:space="preserve"> </w:t>
      </w:r>
      <w:r w:rsidR="00AF7E60">
        <w:t>—ad valorem tariffs, specific tariffs, quotas, licenses, tariff-rate-quotas</w:t>
      </w:r>
      <w:r>
        <w:t>,</w:t>
      </w:r>
      <w:r w:rsidR="00AF7E60">
        <w:t xml:space="preserve"> etc</w:t>
      </w:r>
      <w:r w:rsidR="00CE115A">
        <w:t>.</w:t>
      </w:r>
      <w:r w:rsidR="00AF7E60">
        <w:t>—it is not feasible to evaluate agricultural protection using measures such as the tariff rate. W</w:t>
      </w:r>
      <w:r w:rsidR="00B97CA1">
        <w:t>e</w:t>
      </w:r>
      <w:r w:rsidR="00C86CBB">
        <w:t>,</w:t>
      </w:r>
      <w:r w:rsidR="00B97CA1">
        <w:t xml:space="preserve"> </w:t>
      </w:r>
      <w:r w:rsidR="00AF7E60">
        <w:t>therefore</w:t>
      </w:r>
      <w:r w:rsidR="00C86CBB">
        <w:t>,</w:t>
      </w:r>
      <w:r w:rsidR="008C286C">
        <w:t xml:space="preserve"> </w:t>
      </w:r>
      <w:r w:rsidR="00CE115A">
        <w:t xml:space="preserve">use </w:t>
      </w:r>
      <w:r w:rsidR="008C286C">
        <w:t>measure</w:t>
      </w:r>
      <w:r w:rsidR="00CE115A">
        <w:t xml:space="preserve">s </w:t>
      </w:r>
      <w:r w:rsidR="00CE115A">
        <w:lastRenderedPageBreak/>
        <w:t>of</w:t>
      </w:r>
      <w:r w:rsidR="008C286C">
        <w:t xml:space="preserve"> distortions</w:t>
      </w:r>
      <w:r w:rsidR="00AF7E60">
        <w:t xml:space="preserve"> </w:t>
      </w:r>
      <w:r w:rsidR="00CE115A">
        <w:t>based on</w:t>
      </w:r>
      <w:r w:rsidR="00AF7E60">
        <w:t xml:space="preserve"> the price comparison approach, which captures the complete impact of whatever distortions are applied. It does this </w:t>
      </w:r>
      <w:r w:rsidR="00273953" w:rsidRPr="0023623F">
        <w:t xml:space="preserve">based on the law of one price, where the goods must be comparable (in terms of quality, processing level, and location). </w:t>
      </w:r>
      <w:r w:rsidR="00AF793F">
        <w:t>The r</w:t>
      </w:r>
      <w:r w:rsidR="00273953" w:rsidRPr="0023623F">
        <w:t xml:space="preserve">eference price is </w:t>
      </w:r>
      <w:r w:rsidR="00AF793F">
        <w:t xml:space="preserve">the </w:t>
      </w:r>
      <w:r w:rsidR="00273953" w:rsidRPr="0023623F">
        <w:t xml:space="preserve">border price evaluated at </w:t>
      </w:r>
      <w:r w:rsidR="00AF793F">
        <w:t xml:space="preserve">the </w:t>
      </w:r>
      <w:r w:rsidR="00273953" w:rsidRPr="0023623F">
        <w:t>official nominal exchange rate</w:t>
      </w:r>
      <w:r w:rsidR="00273953" w:rsidRPr="0023623F">
        <w:rPr>
          <w:b/>
        </w:rPr>
        <w:t xml:space="preserve"> </w:t>
      </w:r>
      <w:r w:rsidR="00273953" w:rsidRPr="0023623F">
        <w:t>adjusted for transport, storage, distribution, processing, and</w:t>
      </w:r>
      <w:r w:rsidR="00AF793F">
        <w:t xml:space="preserve"> for</w:t>
      </w:r>
      <w:r w:rsidR="00273953" w:rsidRPr="0023623F">
        <w:t xml:space="preserve"> quality differences</w:t>
      </w:r>
      <w:r w:rsidR="007F5E92">
        <w:t xml:space="preserve"> based on </w:t>
      </w:r>
      <w:r w:rsidR="00185997">
        <w:t xml:space="preserve">input </w:t>
      </w:r>
      <w:r w:rsidR="007F5E92">
        <w:t>data provided by each IO</w:t>
      </w:r>
      <w:r w:rsidR="00273953" w:rsidRPr="0023623F">
        <w:t>.</w:t>
      </w:r>
    </w:p>
    <w:p w14:paraId="6D19ACB4" w14:textId="4422FAAB" w:rsidR="00273953" w:rsidRDefault="00F83ED1" w:rsidP="00CE115A">
      <w:pPr>
        <w:tabs>
          <w:tab w:val="left" w:pos="547"/>
        </w:tabs>
        <w:spacing w:after="120" w:line="360" w:lineRule="auto"/>
      </w:pPr>
      <w:r>
        <w:tab/>
      </w:r>
      <w:r w:rsidR="009829BB">
        <w:t xml:space="preserve">The first </w:t>
      </w:r>
      <w:r w:rsidR="00A14ADA">
        <w:t xml:space="preserve">step </w:t>
      </w:r>
      <w:r w:rsidR="009829BB">
        <w:t xml:space="preserve">before computing NRPs, </w:t>
      </w:r>
      <w:r w:rsidR="00A14ADA">
        <w:t xml:space="preserve">is </w:t>
      </w:r>
      <w:r w:rsidR="00AF793F">
        <w:t xml:space="preserve">creation of a </w:t>
      </w:r>
      <w:r w:rsidR="00C81C41">
        <w:t>h</w:t>
      </w:r>
      <w:r w:rsidR="00273953">
        <w:t xml:space="preserve">armonized </w:t>
      </w:r>
      <w:r w:rsidR="00A6320A">
        <w:t>meta</w:t>
      </w:r>
      <w:r w:rsidR="00273953">
        <w:t>data template</w:t>
      </w:r>
      <w:r w:rsidR="00A14ADA">
        <w:t xml:space="preserve"> that</w:t>
      </w:r>
      <w:r w:rsidR="00273953">
        <w:t xml:space="preserve"> incorporates input data for all I</w:t>
      </w:r>
      <w:r w:rsidR="00E56722">
        <w:t>o</w:t>
      </w:r>
      <w:r w:rsidR="00273953">
        <w:t>s involved and deals with and computes NRPs for commodities and countries</w:t>
      </w:r>
      <w:r w:rsidR="00A14ADA">
        <w:t xml:space="preserve"> as described in Figure 1</w:t>
      </w:r>
      <w:r w:rsidR="00273953">
        <w:t>.</w:t>
      </w:r>
    </w:p>
    <w:p w14:paraId="596412B9" w14:textId="79927795" w:rsidR="00185997" w:rsidRDefault="003D5A80" w:rsidP="00613FC1">
      <w:pPr>
        <w:tabs>
          <w:tab w:val="left" w:pos="1080"/>
        </w:tabs>
        <w:spacing w:after="120"/>
      </w:pPr>
      <w:r>
        <w:rPr>
          <w:noProof/>
          <w:lang w:val="en-US"/>
        </w:rPr>
        <w:drawing>
          <wp:inline distT="0" distB="0" distL="0" distR="0" wp14:anchorId="64F07F68" wp14:editId="7954ADF7">
            <wp:extent cx="5769610" cy="2159000"/>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769610" cy="2159000"/>
                    </a:xfrm>
                    <a:prstGeom prst="rect">
                      <a:avLst/>
                    </a:prstGeom>
                    <a:noFill/>
                  </pic:spPr>
                </pic:pic>
              </a:graphicData>
            </a:graphic>
          </wp:inline>
        </w:drawing>
      </w:r>
      <w:r w:rsidR="00185997" w:rsidRPr="00040B4E">
        <w:rPr>
          <w:b/>
        </w:rPr>
        <w:t>Figure 1</w:t>
      </w:r>
      <w:r w:rsidR="00185997">
        <w:t xml:space="preserve">: </w:t>
      </w:r>
      <w:r w:rsidR="00A14ADA">
        <w:rPr>
          <w:i/>
        </w:rPr>
        <w:t>Harmonized data template process</w:t>
      </w:r>
    </w:p>
    <w:p w14:paraId="6F2F22F6" w14:textId="77777777" w:rsidR="00185997" w:rsidRDefault="00185997" w:rsidP="00986794">
      <w:pPr>
        <w:tabs>
          <w:tab w:val="left" w:pos="1080"/>
        </w:tabs>
        <w:spacing w:after="120"/>
      </w:pPr>
    </w:p>
    <w:p w14:paraId="7E5D3CD0" w14:textId="426A178D" w:rsidR="00C65F19" w:rsidRDefault="00F83ED1" w:rsidP="00CE115A">
      <w:pPr>
        <w:spacing w:line="360" w:lineRule="auto"/>
      </w:pPr>
      <w:r>
        <w:tab/>
      </w:r>
      <w:r w:rsidR="00140F08">
        <w:t xml:space="preserve">We construct the </w:t>
      </w:r>
      <w:r w:rsidR="00C65F19">
        <w:t>harmonized metadata template to identify the path of p</w:t>
      </w:r>
      <w:r w:rsidR="00273953" w:rsidRPr="00D87342">
        <w:t xml:space="preserve">rice </w:t>
      </w:r>
      <w:r w:rsidR="00C65F19">
        <w:t>t</w:t>
      </w:r>
      <w:r w:rsidR="00273953" w:rsidRPr="00D87342">
        <w:t xml:space="preserve">ransmission </w:t>
      </w:r>
      <w:r w:rsidR="00225808" w:rsidRPr="00301142">
        <w:t>across</w:t>
      </w:r>
      <w:r w:rsidR="00273953" w:rsidRPr="00D87342">
        <w:t xml:space="preserve"> the Value Chain</w:t>
      </w:r>
      <w:r w:rsidR="00C65F19">
        <w:t xml:space="preserve"> and </w:t>
      </w:r>
      <w:r w:rsidR="00AF793F">
        <w:t xml:space="preserve">to </w:t>
      </w:r>
      <w:r w:rsidR="00C65F19">
        <w:t>measure changes in price</w:t>
      </w:r>
      <w:r w:rsidR="00AF793F">
        <w:t>s</w:t>
      </w:r>
      <w:r w:rsidR="00C65F19">
        <w:t xml:space="preserve"> along this path while computing </w:t>
      </w:r>
      <w:r w:rsidR="00AF793F">
        <w:t xml:space="preserve">the </w:t>
      </w:r>
      <w:r w:rsidR="00C65F19">
        <w:t xml:space="preserve">reference price at the same point in the value chain. </w:t>
      </w:r>
      <w:r w:rsidR="00E56722">
        <w:t xml:space="preserve">This reference price is later compared to </w:t>
      </w:r>
      <w:r w:rsidR="004E29F3">
        <w:t xml:space="preserve">the </w:t>
      </w:r>
      <w:r w:rsidR="00E56722">
        <w:t xml:space="preserve">farmgate price (PP) to compute </w:t>
      </w:r>
      <w:r w:rsidR="004E29F3">
        <w:t xml:space="preserve">the </w:t>
      </w:r>
      <w:r w:rsidR="00E56722">
        <w:t xml:space="preserve">NRP. </w:t>
      </w:r>
      <w:r w:rsidR="00C65F19">
        <w:t>This</w:t>
      </w:r>
      <w:r w:rsidR="00DC75E6">
        <w:t xml:space="preserve"> is</w:t>
      </w:r>
      <w:r w:rsidR="00C65F19">
        <w:t xml:space="preserve"> described in Figure 2.</w:t>
      </w:r>
    </w:p>
    <w:p w14:paraId="59F2E4BB" w14:textId="6E193ECE" w:rsidR="003F59E2" w:rsidRDefault="003F59E2">
      <w:r>
        <w:br w:type="page"/>
      </w:r>
    </w:p>
    <w:p w14:paraId="598B5E12" w14:textId="77777777" w:rsidR="009829BB" w:rsidRDefault="009829BB" w:rsidP="009829BB"/>
    <w:p w14:paraId="563DCCCC" w14:textId="3AEA7E5B" w:rsidR="00C65F19" w:rsidRDefault="004E29F3" w:rsidP="00C65F19">
      <w:r w:rsidRPr="004E29F3">
        <w:rPr>
          <w:noProof/>
        </w:rPr>
        <w:drawing>
          <wp:inline distT="0" distB="0" distL="0" distR="0" wp14:anchorId="2B25652B" wp14:editId="0FFB87FC">
            <wp:extent cx="6120130" cy="2705735"/>
            <wp:effectExtent l="0" t="0" r="13970" b="18415"/>
            <wp:docPr id="3" name="Diagram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3" r:lo="rId14" r:qs="rId15" r:cs="rId16"/>
              </a:graphicData>
            </a:graphic>
          </wp:inline>
        </w:drawing>
      </w:r>
    </w:p>
    <w:p w14:paraId="30A25700" w14:textId="1F0B1057" w:rsidR="004E29F3" w:rsidRDefault="004E29F3" w:rsidP="00C65F19"/>
    <w:p w14:paraId="067E8D9C" w14:textId="77777777" w:rsidR="004E29F3" w:rsidRPr="00D87342" w:rsidRDefault="004E29F3" w:rsidP="00C65F19"/>
    <w:p w14:paraId="1BE69969" w14:textId="2AAF4826" w:rsidR="00185997" w:rsidRDefault="00185997" w:rsidP="00185997">
      <w:pPr>
        <w:spacing w:after="120"/>
      </w:pPr>
      <w:r w:rsidRPr="00040B4E">
        <w:rPr>
          <w:b/>
        </w:rPr>
        <w:t xml:space="preserve">Figure </w:t>
      </w:r>
      <w:r w:rsidR="00C65F19">
        <w:rPr>
          <w:b/>
        </w:rPr>
        <w:t>2</w:t>
      </w:r>
      <w:r>
        <w:t xml:space="preserve">: </w:t>
      </w:r>
      <w:r w:rsidR="00C65F19">
        <w:rPr>
          <w:i/>
        </w:rPr>
        <w:t>Price Transmission a</w:t>
      </w:r>
      <w:r w:rsidR="003F59E2">
        <w:rPr>
          <w:i/>
        </w:rPr>
        <w:t>long a</w:t>
      </w:r>
      <w:r w:rsidR="00C65F19">
        <w:rPr>
          <w:i/>
        </w:rPr>
        <w:t xml:space="preserve"> Value Chain</w:t>
      </w:r>
      <w:r>
        <w:t xml:space="preserve"> </w:t>
      </w:r>
    </w:p>
    <w:p w14:paraId="1EBA6A4E" w14:textId="77777777" w:rsidR="00AB568E" w:rsidRDefault="00AB568E" w:rsidP="00CE115A">
      <w:pPr>
        <w:tabs>
          <w:tab w:val="left" w:pos="540"/>
        </w:tabs>
        <w:spacing w:after="120" w:line="360" w:lineRule="auto"/>
        <w:ind w:firstLine="562"/>
      </w:pPr>
    </w:p>
    <w:p w14:paraId="789808D0" w14:textId="50747507" w:rsidR="00CF0575" w:rsidRDefault="007C439C" w:rsidP="00CE115A">
      <w:pPr>
        <w:tabs>
          <w:tab w:val="left" w:pos="540"/>
        </w:tabs>
        <w:spacing w:after="120" w:line="360" w:lineRule="auto"/>
        <w:ind w:firstLine="562"/>
      </w:pPr>
      <w:r>
        <w:t xml:space="preserve">Based on input data from </w:t>
      </w:r>
      <w:r w:rsidR="00B21940">
        <w:t xml:space="preserve">the member </w:t>
      </w:r>
      <w:r>
        <w:t>IOs, we compute a continuous series of NRPs.</w:t>
      </w:r>
      <w:r w:rsidR="008C286C">
        <w:t xml:space="preserve"> Since there is some overlap across IOs</w:t>
      </w:r>
      <w:r>
        <w:t xml:space="preserve"> in terms of commodity and country coverage</w:t>
      </w:r>
      <w:r w:rsidR="008C286C">
        <w:t xml:space="preserve">, </w:t>
      </w:r>
      <w:r w:rsidR="00B97CA1">
        <w:t xml:space="preserve">we use </w:t>
      </w:r>
      <w:r w:rsidR="008C286C">
        <w:t xml:space="preserve">a hierarchy to select the final NRP. </w:t>
      </w:r>
      <w:r w:rsidR="00167BB7">
        <w:t xml:space="preserve">When there is an overlap for a period, </w:t>
      </w:r>
      <w:proofErr w:type="gramStart"/>
      <w:r w:rsidR="00167BB7">
        <w:t>country</w:t>
      </w:r>
      <w:proofErr w:type="gramEnd"/>
      <w:r w:rsidR="00167BB7">
        <w:t xml:space="preserve"> or commodity, the first selection for</w:t>
      </w:r>
      <w:r w:rsidR="00B21940">
        <w:t xml:space="preserve"> the </w:t>
      </w:r>
      <w:r w:rsidR="00CE115A">
        <w:t>composite</w:t>
      </w:r>
      <w:r w:rsidR="00167BB7">
        <w:t xml:space="preserve"> NRP is </w:t>
      </w:r>
      <w:r w:rsidR="00AF793F">
        <w:t xml:space="preserve">the </w:t>
      </w:r>
      <w:r w:rsidR="00167BB7">
        <w:t xml:space="preserve">OECD database, followed by MAFAP-FAO, </w:t>
      </w:r>
      <w:r w:rsidR="00DB0A33">
        <w:t xml:space="preserve">and </w:t>
      </w:r>
      <w:r w:rsidR="00167BB7">
        <w:t xml:space="preserve">IDB. This selection process may create NRP coverage for a country where one commodity NRP is from one data set and another NRP is from another data set. </w:t>
      </w:r>
      <w:r w:rsidR="00AF793F">
        <w:t>The s</w:t>
      </w:r>
      <w:r w:rsidR="00167BB7">
        <w:t xml:space="preserve">ame issue </w:t>
      </w:r>
      <w:r w:rsidR="00B97CA1">
        <w:t>exists for</w:t>
      </w:r>
      <w:r w:rsidR="00167BB7">
        <w:t xml:space="preserve"> the time span of a commodity coverage.</w:t>
      </w:r>
    </w:p>
    <w:p w14:paraId="7B971230" w14:textId="4109797C" w:rsidR="00DB0A33" w:rsidRDefault="00DB0A33" w:rsidP="00736721">
      <w:pPr>
        <w:tabs>
          <w:tab w:val="left" w:pos="540"/>
        </w:tabs>
        <w:spacing w:after="120"/>
        <w:ind w:firstLine="567"/>
      </w:pPr>
    </w:p>
    <w:p w14:paraId="2386549A" w14:textId="0B0F220A" w:rsidR="006F6AD7" w:rsidRPr="00C87261" w:rsidRDefault="006F6AD7" w:rsidP="00C87261">
      <w:pPr>
        <w:tabs>
          <w:tab w:val="left" w:pos="540"/>
        </w:tabs>
        <w:spacing w:after="120"/>
        <w:rPr>
          <w:b/>
          <w:sz w:val="28"/>
          <w:szCs w:val="28"/>
        </w:rPr>
      </w:pPr>
      <w:r w:rsidRPr="00C87261">
        <w:rPr>
          <w:b/>
          <w:sz w:val="28"/>
          <w:szCs w:val="28"/>
        </w:rPr>
        <w:t xml:space="preserve">4. </w:t>
      </w:r>
      <w:r>
        <w:rPr>
          <w:b/>
          <w:sz w:val="28"/>
          <w:szCs w:val="28"/>
        </w:rPr>
        <w:t xml:space="preserve">NRA Indicators </w:t>
      </w:r>
    </w:p>
    <w:p w14:paraId="1C70B756" w14:textId="360104A7" w:rsidR="006F6AD7" w:rsidRDefault="006F6AD7" w:rsidP="00C87261">
      <w:pPr>
        <w:spacing w:line="360" w:lineRule="auto"/>
        <w:ind w:firstLine="720"/>
        <w:jc w:val="both"/>
        <w:rPr>
          <w:rFonts w:cstheme="minorHAnsi"/>
        </w:rPr>
      </w:pPr>
      <w:r>
        <w:rPr>
          <w:rFonts w:cstheme="minorHAnsi"/>
        </w:rPr>
        <w:t xml:space="preserve">Unlike the </w:t>
      </w:r>
      <w:r w:rsidR="001A680C">
        <w:rPr>
          <w:rFonts w:cstheme="minorHAnsi"/>
        </w:rPr>
        <w:t xml:space="preserve">NRP, the </w:t>
      </w:r>
      <w:r>
        <w:rPr>
          <w:rFonts w:cstheme="minorHAnsi"/>
        </w:rPr>
        <w:t>Nominal Rate of Assistance (NRA)</w:t>
      </w:r>
      <w:r w:rsidRPr="00E7698B">
        <w:rPr>
          <w:rFonts w:cstheme="minorHAnsi"/>
        </w:rPr>
        <w:t xml:space="preserve"> </w:t>
      </w:r>
      <w:r>
        <w:rPr>
          <w:rFonts w:cstheme="minorHAnsi"/>
        </w:rPr>
        <w:t>is not a single measure for each commodity and year. Rather, it is a set of measures that</w:t>
      </w:r>
      <w:r w:rsidRPr="00E7698B">
        <w:rPr>
          <w:rFonts w:cstheme="minorHAnsi"/>
        </w:rPr>
        <w:t xml:space="preserve"> </w:t>
      </w:r>
      <w:r>
        <w:rPr>
          <w:rFonts w:cstheme="minorHAnsi"/>
        </w:rPr>
        <w:t>capture the</w:t>
      </w:r>
      <w:r w:rsidRPr="00E7698B">
        <w:rPr>
          <w:rFonts w:cstheme="minorHAnsi"/>
        </w:rPr>
        <w:t xml:space="preserve"> extent of </w:t>
      </w:r>
      <w:r>
        <w:rPr>
          <w:rFonts w:cstheme="minorHAnsi"/>
        </w:rPr>
        <w:t xml:space="preserve">support provided by a range of policy instruments. These include the </w:t>
      </w:r>
      <w:r w:rsidRPr="00E7698B">
        <w:rPr>
          <w:rFonts w:cstheme="minorHAnsi"/>
        </w:rPr>
        <w:t>market price distortion</w:t>
      </w:r>
      <w:r>
        <w:rPr>
          <w:rFonts w:cstheme="minorHAnsi"/>
        </w:rPr>
        <w:t>s</w:t>
      </w:r>
      <w:r w:rsidRPr="00E7698B">
        <w:rPr>
          <w:rFonts w:cstheme="minorHAnsi"/>
        </w:rPr>
        <w:t xml:space="preserve"> caused by border measures</w:t>
      </w:r>
      <w:r w:rsidR="001A680C">
        <w:rPr>
          <w:rFonts w:cstheme="minorHAnsi"/>
        </w:rPr>
        <w:t>—</w:t>
      </w:r>
      <w:r w:rsidRPr="00E7698B">
        <w:rPr>
          <w:rFonts w:cstheme="minorHAnsi"/>
        </w:rPr>
        <w:t xml:space="preserve"> such as tariffs, quotas, trade bans</w:t>
      </w:r>
      <w:r>
        <w:rPr>
          <w:rFonts w:cstheme="minorHAnsi"/>
        </w:rPr>
        <w:t xml:space="preserve"> or</w:t>
      </w:r>
      <w:r w:rsidRPr="00E7698B">
        <w:rPr>
          <w:rFonts w:cstheme="minorHAnsi"/>
        </w:rPr>
        <w:t xml:space="preserve"> export taxes</w:t>
      </w:r>
      <w:r w:rsidR="001A680C">
        <w:rPr>
          <w:rFonts w:cstheme="minorHAnsi"/>
        </w:rPr>
        <w:t>—</w:t>
      </w:r>
      <w:r>
        <w:rPr>
          <w:rFonts w:cstheme="minorHAnsi"/>
        </w:rPr>
        <w:t>reported in NRP measures. Additional NRA measures capture the changes in incentives created by subsidies linked to production, to inputs, or to other indicators such as current or historical land use</w:t>
      </w:r>
      <w:r w:rsidRPr="00E7698B">
        <w:rPr>
          <w:rFonts w:cstheme="minorHAnsi"/>
        </w:rPr>
        <w:t xml:space="preserve">. </w:t>
      </w:r>
      <w:r>
        <w:rPr>
          <w:rFonts w:cstheme="minorHAnsi"/>
        </w:rPr>
        <w:t xml:space="preserve">The set of </w:t>
      </w:r>
      <w:r w:rsidRPr="00E7698B">
        <w:rPr>
          <w:rFonts w:cstheme="minorHAnsi"/>
        </w:rPr>
        <w:t xml:space="preserve">NRA </w:t>
      </w:r>
      <w:r>
        <w:rPr>
          <w:rFonts w:cstheme="minorHAnsi"/>
        </w:rPr>
        <w:t>measures thus</w:t>
      </w:r>
      <w:r w:rsidRPr="00E7698B">
        <w:rPr>
          <w:rFonts w:cstheme="minorHAnsi"/>
        </w:rPr>
        <w:t xml:space="preserve"> provid</w:t>
      </w:r>
      <w:r>
        <w:rPr>
          <w:rFonts w:cstheme="minorHAnsi"/>
        </w:rPr>
        <w:t>es</w:t>
      </w:r>
      <w:r w:rsidRPr="00E7698B">
        <w:rPr>
          <w:rFonts w:cstheme="minorHAnsi"/>
        </w:rPr>
        <w:t xml:space="preserve"> a more complete picture of the extent of producer support to the agricultural sector</w:t>
      </w:r>
      <w:r>
        <w:rPr>
          <w:rFonts w:cstheme="minorHAnsi"/>
        </w:rPr>
        <w:t>, relative to Nominal Rate of Protection (NRP) measures that captures only</w:t>
      </w:r>
      <w:r w:rsidRPr="007E154C">
        <w:rPr>
          <w:rFonts w:cstheme="minorHAnsi"/>
        </w:rPr>
        <w:t xml:space="preserve"> the extent to which agricultural policies affects the market price of a product relative to </w:t>
      </w:r>
      <w:r>
        <w:rPr>
          <w:rFonts w:cstheme="minorHAnsi"/>
        </w:rPr>
        <w:t xml:space="preserve">external </w:t>
      </w:r>
      <w:r w:rsidRPr="007E154C">
        <w:rPr>
          <w:rFonts w:cstheme="minorHAnsi"/>
        </w:rPr>
        <w:t>prices.</w:t>
      </w:r>
    </w:p>
    <w:p w14:paraId="2B362B32" w14:textId="4B11B92B" w:rsidR="006F6AD7" w:rsidRPr="0034354C" w:rsidRDefault="006F6AD7" w:rsidP="00EB5617">
      <w:pPr>
        <w:spacing w:line="360" w:lineRule="auto"/>
        <w:ind w:firstLine="720"/>
        <w:jc w:val="both"/>
        <w:rPr>
          <w:rFonts w:cstheme="minorHAnsi"/>
        </w:rPr>
      </w:pPr>
      <w:r w:rsidRPr="0034354C">
        <w:rPr>
          <w:rFonts w:cstheme="minorHAnsi"/>
        </w:rPr>
        <w:lastRenderedPageBreak/>
        <w:t xml:space="preserve">The </w:t>
      </w:r>
      <w:r w:rsidR="001A680C">
        <w:rPr>
          <w:rFonts w:cstheme="minorHAnsi"/>
        </w:rPr>
        <w:t xml:space="preserve">total </w:t>
      </w:r>
      <w:r w:rsidR="000F0944">
        <w:rPr>
          <w:rFonts w:cstheme="minorHAnsi"/>
        </w:rPr>
        <w:t xml:space="preserve">percentage </w:t>
      </w:r>
      <w:r w:rsidRPr="0034354C">
        <w:rPr>
          <w:rFonts w:cstheme="minorHAnsi"/>
        </w:rPr>
        <w:t xml:space="preserve">NRA for country r, </w:t>
      </w:r>
      <w:r w:rsidR="000F0944">
        <w:rPr>
          <w:rFonts w:cstheme="minorHAnsi"/>
        </w:rPr>
        <w:t xml:space="preserve">in </w:t>
      </w:r>
      <w:r w:rsidRPr="0034354C">
        <w:rPr>
          <w:rFonts w:cstheme="minorHAnsi"/>
        </w:rPr>
        <w:t xml:space="preserve">year t, </w:t>
      </w:r>
      <w:r w:rsidR="001A680C">
        <w:rPr>
          <w:rFonts w:cstheme="minorHAnsi"/>
        </w:rPr>
        <w:t>covering</w:t>
      </w:r>
      <w:r w:rsidR="000F0944">
        <w:rPr>
          <w:rFonts w:cstheme="minorHAnsi"/>
        </w:rPr>
        <w:t xml:space="preserve"> all products and policy measures</w:t>
      </w:r>
      <w:r w:rsidRPr="0034354C">
        <w:rPr>
          <w:rFonts w:cstheme="minorHAnsi"/>
        </w:rPr>
        <w:t xml:space="preserve"> is defined as: </w:t>
      </w:r>
    </w:p>
    <w:p w14:paraId="5823E58B" w14:textId="77777777" w:rsidR="006F6AD7" w:rsidRPr="0034354C" w:rsidRDefault="006F6AD7" w:rsidP="006F6AD7">
      <w:pPr>
        <w:jc w:val="both"/>
        <w:rPr>
          <w:rFonts w:cstheme="minorHAnsi"/>
        </w:rPr>
      </w:pPr>
    </w:p>
    <w:p w14:paraId="7429F12A" w14:textId="6D118B09" w:rsidR="006F6AD7" w:rsidRPr="0034354C" w:rsidRDefault="00000000" w:rsidP="006F6AD7">
      <w:pPr>
        <w:jc w:val="both"/>
        <w:rPr>
          <w:rFonts w:cstheme="minorHAnsi"/>
        </w:rPr>
      </w:pPr>
      <m:oMath>
        <m:sSub>
          <m:sSubPr>
            <m:ctrlPr>
              <w:rPr>
                <w:rFonts w:ascii="Cambria Math" w:hAnsi="Cambria Math" w:cstheme="minorHAnsi"/>
              </w:rPr>
            </m:ctrlPr>
          </m:sSubPr>
          <m:e>
            <m:r>
              <w:rPr>
                <w:rFonts w:ascii="Cambria Math" w:hAnsi="Cambria Math" w:cstheme="minorHAnsi"/>
              </w:rPr>
              <m:t>NRA</m:t>
            </m:r>
          </m:e>
          <m:sub>
            <m:r>
              <m:rPr>
                <m:sty m:val="p"/>
              </m:rPr>
              <w:rPr>
                <w:rFonts w:ascii="Cambria Math" w:hAnsi="Cambria Math" w:cstheme="minorHAnsi"/>
              </w:rPr>
              <m:t>"</m:t>
            </m:r>
            <m:r>
              <w:rPr>
                <w:rFonts w:ascii="Cambria Math" w:hAnsi="Cambria Math" w:cstheme="minorHAnsi"/>
              </w:rPr>
              <m:t>Total</m:t>
            </m:r>
            <m:r>
              <m:rPr>
                <m:sty m:val="p"/>
              </m:rPr>
              <w:rPr>
                <w:rFonts w:ascii="Cambria Math" w:hAnsi="Cambria Math" w:cstheme="minorHAnsi"/>
              </w:rPr>
              <m:t>",</m:t>
            </m:r>
            <m:r>
              <w:rPr>
                <w:rFonts w:ascii="Cambria Math" w:hAnsi="Cambria Math" w:cstheme="minorHAnsi"/>
              </w:rPr>
              <m:t>r</m:t>
            </m:r>
            <m:r>
              <m:rPr>
                <m:sty m:val="p"/>
              </m:rPr>
              <w:rPr>
                <w:rFonts w:ascii="Cambria Math" w:hAnsi="Cambria Math" w:cstheme="minorHAnsi"/>
              </w:rPr>
              <m:t>,</m:t>
            </m:r>
            <m:r>
              <w:rPr>
                <w:rFonts w:ascii="Cambria Math" w:hAnsi="Cambria Math" w:cstheme="minorHAnsi"/>
              </w:rPr>
              <m:t>t</m:t>
            </m:r>
          </m:sub>
        </m:sSub>
        <m:r>
          <m:rPr>
            <m:sty m:val="p"/>
          </m:rPr>
          <w:rPr>
            <w:rFonts w:ascii="Cambria Math" w:hAnsi="Cambria Math" w:cstheme="minorHAnsi"/>
          </w:rPr>
          <m:t>=</m:t>
        </m:r>
        <m:d>
          <m:dPr>
            <m:ctrlPr>
              <w:rPr>
                <w:rFonts w:ascii="Cambria Math" w:hAnsi="Cambria Math" w:cstheme="minorHAnsi"/>
              </w:rPr>
            </m:ctrlPr>
          </m:dPr>
          <m:e>
            <m:f>
              <m:fPr>
                <m:ctrlPr>
                  <w:rPr>
                    <w:rFonts w:ascii="Cambria Math" w:hAnsi="Cambria Math" w:cstheme="minorHAnsi"/>
                  </w:rPr>
                </m:ctrlPr>
              </m:fPr>
              <m:num>
                <m:nary>
                  <m:naryPr>
                    <m:chr m:val="∑"/>
                    <m:limLoc m:val="undOvr"/>
                    <m:supHide m:val="1"/>
                    <m:ctrlPr>
                      <w:rPr>
                        <w:rFonts w:ascii="Cambria Math" w:hAnsi="Cambria Math" w:cstheme="minorHAnsi"/>
                        <w:i/>
                      </w:rPr>
                    </m:ctrlPr>
                  </m:naryPr>
                  <m:sub>
                    <m:r>
                      <w:rPr>
                        <w:rFonts w:ascii="Cambria Math" w:hAnsi="Cambria Math" w:cstheme="minorHAnsi"/>
                      </w:rPr>
                      <m:t>s</m:t>
                    </m:r>
                    <m:r>
                      <m:rPr>
                        <m:sty m:val="p"/>
                      </m:rPr>
                      <w:rPr>
                        <w:rFonts w:ascii="Cambria Math" w:hAnsi="Cambria Math" w:cstheme="minorHAnsi"/>
                      </w:rPr>
                      <m:t>,</m:t>
                    </m:r>
                    <m:r>
                      <w:rPr>
                        <w:rFonts w:ascii="Cambria Math" w:hAnsi="Cambria Math" w:cstheme="minorHAnsi"/>
                      </w:rPr>
                      <m:t>i</m:t>
                    </m:r>
                  </m:sub>
                  <m:sup/>
                  <m:e>
                    <m:sSub>
                      <m:sSubPr>
                        <m:ctrlPr>
                          <w:rPr>
                            <w:rFonts w:ascii="Cambria Math" w:hAnsi="Cambria Math" w:cstheme="minorHAnsi"/>
                          </w:rPr>
                        </m:ctrlPr>
                      </m:sSubPr>
                      <m:e>
                        <m:r>
                          <w:rPr>
                            <w:rFonts w:ascii="Cambria Math" w:hAnsi="Cambria Math" w:cstheme="minorHAnsi"/>
                          </w:rPr>
                          <m:t>X</m:t>
                        </m:r>
                      </m:e>
                      <m:sub>
                        <m:r>
                          <w:rPr>
                            <w:rFonts w:ascii="Cambria Math" w:hAnsi="Cambria Math" w:cstheme="minorHAnsi"/>
                          </w:rPr>
                          <m:t>s</m:t>
                        </m:r>
                        <m:r>
                          <m:rPr>
                            <m:sty m:val="p"/>
                          </m:rPr>
                          <w:rPr>
                            <w:rFonts w:ascii="Cambria Math" w:hAnsi="Cambria Math" w:cstheme="minorHAnsi"/>
                          </w:rPr>
                          <m:t>,</m:t>
                        </m:r>
                        <m:r>
                          <w:rPr>
                            <w:rFonts w:ascii="Cambria Math" w:hAnsi="Cambria Math" w:cstheme="minorHAnsi"/>
                          </w:rPr>
                          <m:t>i</m:t>
                        </m:r>
                        <m:r>
                          <m:rPr>
                            <m:sty m:val="p"/>
                          </m:rPr>
                          <w:rPr>
                            <w:rFonts w:ascii="Cambria Math" w:hAnsi="Cambria Math" w:cstheme="minorHAnsi"/>
                          </w:rPr>
                          <m:t>,</m:t>
                        </m:r>
                        <m:r>
                          <w:rPr>
                            <w:rFonts w:ascii="Cambria Math" w:hAnsi="Cambria Math" w:cstheme="minorHAnsi"/>
                          </w:rPr>
                          <m:t>r</m:t>
                        </m:r>
                        <m:r>
                          <m:rPr>
                            <m:sty m:val="p"/>
                          </m:rPr>
                          <w:rPr>
                            <w:rFonts w:ascii="Cambria Math" w:hAnsi="Cambria Math" w:cstheme="minorHAnsi"/>
                          </w:rPr>
                          <m:t>,</m:t>
                        </m:r>
                        <m:r>
                          <w:rPr>
                            <w:rFonts w:ascii="Cambria Math" w:hAnsi="Cambria Math" w:cstheme="minorHAnsi"/>
                          </w:rPr>
                          <m:t>t</m:t>
                        </m:r>
                      </m:sub>
                    </m:sSub>
                  </m:e>
                </m:nary>
              </m:num>
              <m:den>
                <m:nary>
                  <m:naryPr>
                    <m:chr m:val="∑"/>
                    <m:limLoc m:val="undOvr"/>
                    <m:supHide m:val="1"/>
                    <m:ctrlPr>
                      <w:rPr>
                        <w:rFonts w:ascii="Cambria Math" w:hAnsi="Cambria Math" w:cstheme="minorHAnsi"/>
                        <w:i/>
                      </w:rPr>
                    </m:ctrlPr>
                  </m:naryPr>
                  <m:sub>
                    <m:r>
                      <w:rPr>
                        <w:rFonts w:ascii="Cambria Math" w:hAnsi="Cambria Math" w:cstheme="minorHAnsi"/>
                      </w:rPr>
                      <m:t>i</m:t>
                    </m:r>
                  </m:sub>
                  <m:sup/>
                  <m:e>
                    <m:sSub>
                      <m:sSubPr>
                        <m:ctrlPr>
                          <w:rPr>
                            <w:rFonts w:ascii="Cambria Math" w:hAnsi="Cambria Math" w:cstheme="minorHAnsi"/>
                          </w:rPr>
                        </m:ctrlPr>
                      </m:sSubPr>
                      <m:e>
                        <m:r>
                          <m:rPr>
                            <m:sty m:val="bi"/>
                          </m:rPr>
                          <w:rPr>
                            <w:rFonts w:ascii="Cambria Math" w:hAnsi="Cambria Math" w:cstheme="minorHAnsi"/>
                          </w:rPr>
                          <m:t>ValueProductio</m:t>
                        </m:r>
                        <m:sSub>
                          <m:sSubPr>
                            <m:ctrlPr>
                              <w:rPr>
                                <w:rFonts w:ascii="Cambria Math" w:hAnsi="Cambria Math" w:cstheme="minorHAnsi"/>
                              </w:rPr>
                            </m:ctrlPr>
                          </m:sSubPr>
                          <m:e>
                            <m:r>
                              <m:rPr>
                                <m:sty m:val="bi"/>
                              </m:rPr>
                              <w:rPr>
                                <w:rFonts w:ascii="Cambria Math" w:hAnsi="Cambria Math" w:cstheme="minorHAnsi"/>
                              </w:rPr>
                              <m:t>n</m:t>
                            </m:r>
                          </m:e>
                          <m:sub>
                            <m:r>
                              <m:rPr>
                                <m:sty m:val="bi"/>
                              </m:rPr>
                              <w:rPr>
                                <w:rFonts w:ascii="Cambria Math" w:hAnsi="Cambria Math" w:cstheme="minorHAnsi"/>
                              </w:rPr>
                              <m:t>Ref</m:t>
                            </m:r>
                          </m:sub>
                        </m:sSub>
                      </m:e>
                      <m:sub>
                        <m:r>
                          <m:rPr>
                            <m:sty m:val="bi"/>
                          </m:rPr>
                          <w:rPr>
                            <w:rFonts w:ascii="Cambria Math" w:hAnsi="Cambria Math" w:cstheme="minorHAnsi"/>
                          </w:rPr>
                          <m:t>i</m:t>
                        </m:r>
                        <m:r>
                          <m:rPr>
                            <m:sty m:val="p"/>
                          </m:rPr>
                          <w:rPr>
                            <w:rFonts w:ascii="Cambria Math" w:hAnsi="Cambria Math" w:cstheme="minorHAnsi"/>
                          </w:rPr>
                          <m:t>,</m:t>
                        </m:r>
                        <m:r>
                          <m:rPr>
                            <m:sty m:val="bi"/>
                          </m:rPr>
                          <w:rPr>
                            <w:rFonts w:ascii="Cambria Math" w:hAnsi="Cambria Math" w:cstheme="minorHAnsi"/>
                          </w:rPr>
                          <m:t>r</m:t>
                        </m:r>
                        <m:r>
                          <m:rPr>
                            <m:sty m:val="p"/>
                          </m:rPr>
                          <w:rPr>
                            <w:rFonts w:ascii="Cambria Math" w:hAnsi="Cambria Math" w:cstheme="minorHAnsi"/>
                          </w:rPr>
                          <m:t>,</m:t>
                        </m:r>
                        <m:r>
                          <m:rPr>
                            <m:sty m:val="bi"/>
                          </m:rPr>
                          <w:rPr>
                            <w:rFonts w:ascii="Cambria Math" w:hAnsi="Cambria Math" w:cstheme="minorHAnsi"/>
                          </w:rPr>
                          <m:t>t</m:t>
                        </m:r>
                      </m:sub>
                    </m:sSub>
                  </m:e>
                </m:nary>
              </m:den>
            </m:f>
          </m:e>
        </m:d>
        <m:r>
          <m:rPr>
            <m:sty m:val="p"/>
          </m:rPr>
          <w:rPr>
            <w:rFonts w:ascii="Cambria Math" w:hAnsi="Cambria Math" w:cstheme="minorHAnsi"/>
          </w:rPr>
          <m:t>*100</m:t>
        </m:r>
      </m:oMath>
      <w:r w:rsidR="006F6AD7" w:rsidRPr="0034354C">
        <w:rPr>
          <w:rFonts w:cstheme="minorHAnsi"/>
        </w:rPr>
        <w:t xml:space="preserve"> </w:t>
      </w:r>
      <w:r w:rsidR="006F6AD7" w:rsidRPr="0034354C">
        <w:rPr>
          <w:rFonts w:cstheme="minorHAnsi"/>
        </w:rPr>
        <w:tab/>
      </w:r>
      <w:r w:rsidR="006F6AD7" w:rsidRPr="0034354C">
        <w:rPr>
          <w:rFonts w:cstheme="minorHAnsi"/>
        </w:rPr>
        <w:tab/>
      </w:r>
      <w:r w:rsidR="006F6AD7" w:rsidRPr="0034354C">
        <w:rPr>
          <w:rFonts w:cstheme="minorHAnsi"/>
        </w:rPr>
        <w:tab/>
      </w:r>
      <w:r w:rsidR="006F6AD7" w:rsidRPr="0034354C">
        <w:rPr>
          <w:rFonts w:cstheme="minorHAnsi"/>
        </w:rPr>
        <w:tab/>
      </w:r>
      <w:r w:rsidR="006F6AD7" w:rsidRPr="0034354C">
        <w:rPr>
          <w:rFonts w:cstheme="minorHAnsi"/>
        </w:rPr>
        <w:tab/>
      </w:r>
      <w:r w:rsidR="006F6AD7" w:rsidRPr="0034354C">
        <w:rPr>
          <w:rFonts w:cstheme="minorHAnsi"/>
        </w:rPr>
        <w:tab/>
        <w:t>(1)</w:t>
      </w:r>
    </w:p>
    <w:p w14:paraId="0815D923" w14:textId="77777777" w:rsidR="006F6AD7" w:rsidRPr="0034354C" w:rsidRDefault="006F6AD7" w:rsidP="006F6AD7">
      <w:pPr>
        <w:jc w:val="both"/>
        <w:rPr>
          <w:rFonts w:cstheme="minorHAnsi"/>
        </w:rPr>
      </w:pPr>
    </w:p>
    <w:p w14:paraId="4937D760" w14:textId="418902B8" w:rsidR="006F6AD7" w:rsidRDefault="006F6AD7" w:rsidP="00C87261">
      <w:pPr>
        <w:spacing w:line="360" w:lineRule="auto"/>
        <w:jc w:val="both"/>
      </w:pPr>
      <w:r w:rsidRPr="0034354C">
        <w:rPr>
          <w:rFonts w:cstheme="minorHAnsi"/>
        </w:rPr>
        <w:t xml:space="preserve">where </w:t>
      </w:r>
      <w:r w:rsidRPr="003F59E2">
        <w:rPr>
          <w:rFonts w:cstheme="minorHAnsi"/>
          <w:i/>
          <w:iCs/>
        </w:rPr>
        <w:t>X</w:t>
      </w:r>
      <w:r w:rsidRPr="0034354C">
        <w:rPr>
          <w:rFonts w:cstheme="minorHAnsi"/>
        </w:rPr>
        <w:t xml:space="preserve"> </w:t>
      </w:r>
      <w:r w:rsidR="000F0944">
        <w:rPr>
          <w:rFonts w:cstheme="minorHAnsi"/>
        </w:rPr>
        <w:t>is</w:t>
      </w:r>
      <w:r w:rsidRPr="0034354C">
        <w:rPr>
          <w:rFonts w:cstheme="minorHAnsi"/>
        </w:rPr>
        <w:t xml:space="preserve"> the transfer</w:t>
      </w:r>
      <w:r>
        <w:rPr>
          <w:rFonts w:cstheme="minorHAnsi"/>
        </w:rPr>
        <w:t>s</w:t>
      </w:r>
      <w:r w:rsidR="004E29F3">
        <w:rPr>
          <w:rFonts w:cstheme="minorHAnsi"/>
        </w:rPr>
        <w:t xml:space="preserve"> made with </w:t>
      </w:r>
      <w:r w:rsidR="003F59E2">
        <w:rPr>
          <w:rFonts w:cstheme="minorHAnsi"/>
        </w:rPr>
        <w:t xml:space="preserve">policy </w:t>
      </w:r>
      <w:r w:rsidR="004E29F3">
        <w:rPr>
          <w:rFonts w:cstheme="minorHAnsi"/>
        </w:rPr>
        <w:t xml:space="preserve">instrument </w:t>
      </w:r>
      <w:r w:rsidR="004E29F3" w:rsidRPr="00E3177B">
        <w:rPr>
          <w:rFonts w:cstheme="minorHAnsi"/>
          <w:i/>
          <w:iCs/>
        </w:rPr>
        <w:t>s</w:t>
      </w:r>
      <w:r w:rsidRPr="0034354C">
        <w:rPr>
          <w:rFonts w:cstheme="minorHAnsi"/>
        </w:rPr>
        <w:t xml:space="preserve"> from consumers or taxpayers to producers and</w:t>
      </w:r>
      <w:r w:rsidR="001A680C">
        <w:rPr>
          <w:rFonts w:cstheme="minorHAnsi"/>
        </w:rPr>
        <w:t xml:space="preserve"> </w:t>
      </w:r>
      <m:oMath>
        <m:r>
          <w:rPr>
            <w:rFonts w:ascii="Cambria Math" w:hAnsi="Cambria Math" w:cstheme="minorHAnsi"/>
          </w:rPr>
          <m:t>ValueProduction</m:t>
        </m:r>
        <m:r>
          <m:rPr>
            <m:sty m:val="p"/>
          </m:rPr>
          <w:rPr>
            <w:rFonts w:ascii="Cambria Math" w:hAnsi="Cambria Math" w:cstheme="minorHAnsi"/>
          </w:rPr>
          <m:t>_</m:t>
        </m:r>
        <m:r>
          <w:rPr>
            <w:rFonts w:ascii="Cambria Math" w:hAnsi="Cambria Math" w:cstheme="minorHAnsi"/>
          </w:rPr>
          <m:t>Ref</m:t>
        </m:r>
      </m:oMath>
      <w:r w:rsidRPr="0034354C">
        <w:rPr>
          <w:rFonts w:cstheme="minorHAnsi"/>
        </w:rPr>
        <w:t xml:space="preserve"> is the value of production valued at farmgate reference prices</w:t>
      </w:r>
      <w:r>
        <w:rPr>
          <w:rFonts w:cstheme="minorHAnsi"/>
        </w:rPr>
        <w:t xml:space="preserve"> for </w:t>
      </w:r>
      <w:r w:rsidR="003F59E2">
        <w:t>commodity</w:t>
      </w:r>
      <w:r w:rsidRPr="00A9778F">
        <w:t xml:space="preserve"> </w:t>
      </w:r>
      <w:r w:rsidRPr="00A9778F">
        <w:rPr>
          <w:i/>
          <w:iCs/>
        </w:rPr>
        <w:t>i</w:t>
      </w:r>
      <w:r w:rsidRPr="00A9778F">
        <w:t xml:space="preserve">, in country </w:t>
      </w:r>
      <w:r w:rsidRPr="00A9778F">
        <w:rPr>
          <w:i/>
          <w:iCs/>
        </w:rPr>
        <w:t>r</w:t>
      </w:r>
      <w:r w:rsidRPr="00A9778F">
        <w:t xml:space="preserve">, and year </w:t>
      </w:r>
      <w:r w:rsidRPr="00A9778F">
        <w:rPr>
          <w:i/>
          <w:iCs/>
        </w:rPr>
        <w:t>t</w:t>
      </w:r>
      <w:r>
        <w:rPr>
          <w:i/>
          <w:iCs/>
        </w:rPr>
        <w:t>.</w:t>
      </w:r>
      <w:r w:rsidR="000F0944">
        <w:rPr>
          <w:i/>
          <w:iCs/>
        </w:rPr>
        <w:t xml:space="preserve"> </w:t>
      </w:r>
      <w:r w:rsidR="000F0944">
        <w:t xml:space="preserve">The classification by policy instrument follows that used in the OECD’s PSE manual, with support from border measures (A1) distinguished from subsidies on output (A2). In addition, measures are provided for support provided by subsidies on inputs (B). All other of the other forms of support are provided as a single measure for “other” subsidies. </w:t>
      </w:r>
    </w:p>
    <w:p w14:paraId="29470BD3" w14:textId="660AEFFF" w:rsidR="00BF6791" w:rsidRDefault="00BF6791" w:rsidP="00C87261">
      <w:pPr>
        <w:spacing w:line="360" w:lineRule="auto"/>
        <w:jc w:val="both"/>
      </w:pPr>
    </w:p>
    <w:p w14:paraId="38C2EEAC" w14:textId="141320EA" w:rsidR="00BF6791" w:rsidRPr="00BF6791" w:rsidRDefault="00BF6791" w:rsidP="00EB5617">
      <w:pPr>
        <w:spacing w:line="360" w:lineRule="auto"/>
        <w:jc w:val="both"/>
      </w:pPr>
      <w:r w:rsidRPr="00BF6791">
        <w:t xml:space="preserve">In </w:t>
      </w:r>
      <w:r w:rsidR="001A680C">
        <w:t>Table 2,</w:t>
      </w:r>
      <w:r w:rsidRPr="00BF6791">
        <w:t xml:space="preserve"> we summarize various </w:t>
      </w:r>
      <w:r w:rsidR="001A680C">
        <w:t>components of the NRA, with the types of policy interventions represented by rows and the commodities by columns. In this table,</w:t>
      </w:r>
      <w:r w:rsidRPr="00BF6791">
        <w:t xml:space="preserve"> we</w:t>
      </w:r>
      <w:r w:rsidR="001A680C">
        <w:t xml:space="preserve"> present the</w:t>
      </w:r>
      <w:r w:rsidR="00B44993">
        <w:t xml:space="preserve"> </w:t>
      </w:r>
      <w:r w:rsidR="001A680C">
        <w:t xml:space="preserve">full </w:t>
      </w:r>
      <w:r w:rsidRPr="00BF6791">
        <w:t xml:space="preserve">OECD classification of </w:t>
      </w:r>
      <w:r w:rsidR="001A680C">
        <w:t>support along the rows</w:t>
      </w:r>
      <w:r w:rsidR="00B44993">
        <w:t>.</w:t>
      </w:r>
      <w:r w:rsidRPr="00BF6791">
        <w:t xml:space="preserve"> </w:t>
      </w:r>
      <w:r w:rsidR="00BC0E3B">
        <w:t xml:space="preserve">As shown in the final column of the table, the </w:t>
      </w:r>
      <w:proofErr w:type="spellStart"/>
      <w:r w:rsidR="00BC0E3B">
        <w:t>AgIncentives</w:t>
      </w:r>
      <w:proofErr w:type="spellEnd"/>
      <w:r w:rsidR="00BC0E3B">
        <w:t xml:space="preserve"> NRA measures aggregate OECD categories C to </w:t>
      </w:r>
      <w:proofErr w:type="spellStart"/>
      <w:r w:rsidR="00BC0E3B">
        <w:t>G</w:t>
      </w:r>
      <w:proofErr w:type="spellEnd"/>
      <w:r w:rsidR="00BC0E3B">
        <w:t xml:space="preserve"> into a single aggregate for “Other” support. To expand the country coverage of the database, w</w:t>
      </w:r>
      <w:r w:rsidRPr="00BF6791">
        <w:t xml:space="preserve">e complement </w:t>
      </w:r>
      <w:r w:rsidR="00BC0E3B">
        <w:t xml:space="preserve">data from the </w:t>
      </w:r>
      <w:r w:rsidRPr="00BF6791">
        <w:t xml:space="preserve">OECD PSE database </w:t>
      </w:r>
      <w:r w:rsidR="00BC0E3B">
        <w:t xml:space="preserve">primarily </w:t>
      </w:r>
      <w:r w:rsidRPr="00BF6791">
        <w:t>with</w:t>
      </w:r>
      <w:r w:rsidR="00BC0E3B">
        <w:t xml:space="preserve"> data from the</w:t>
      </w:r>
      <w:r w:rsidRPr="00BF6791">
        <w:t xml:space="preserve"> Inter-American Development Bank’s </w:t>
      </w:r>
      <w:proofErr w:type="spellStart"/>
      <w:r w:rsidRPr="00BF6791">
        <w:t>Agrimonitor</w:t>
      </w:r>
      <w:proofErr w:type="spellEnd"/>
      <w:r w:rsidRPr="00BF6791">
        <w:t xml:space="preserve"> program and FAO</w:t>
      </w:r>
      <w:r w:rsidR="00BC0E3B">
        <w:t>’s</w:t>
      </w:r>
      <w:r w:rsidRPr="00BF6791">
        <w:t xml:space="preserve"> monitoring effort. </w:t>
      </w:r>
      <w:r w:rsidR="00BC0E3B">
        <w:t>As well as payments that can be attributed to commodity output, Table 2 highlights the presence of payments—such as fertilizer subsidies—that cannot be allocated to individual agricultural commodities. Another set of policy interventions that could, in principle, be allocated to individual commodities are made to non-Market Price Support (non-MPS) commodities for which estimates of policy transfers resulting from trade policies are not available.</w:t>
      </w:r>
    </w:p>
    <w:p w14:paraId="4C8A9501" w14:textId="43B114CB" w:rsidR="001A680C" w:rsidRDefault="001A680C">
      <w:pPr>
        <w:rPr>
          <w:rFonts w:eastAsiaTheme="majorEastAsia"/>
          <w:b/>
          <w:iCs/>
          <w:color w:val="70AD47" w:themeColor="accent6"/>
          <w:lang w:val="en-US"/>
        </w:rPr>
      </w:pPr>
      <w:bookmarkStart w:id="0" w:name="_Ref110244028"/>
      <w:bookmarkStart w:id="1" w:name="_Toc92694630"/>
    </w:p>
    <w:p w14:paraId="40FA7BF2" w14:textId="1EDAD784" w:rsidR="00BF6791" w:rsidRPr="00E3177B" w:rsidRDefault="00BF6791" w:rsidP="00BF6791">
      <w:pPr>
        <w:pStyle w:val="Caption"/>
        <w:spacing w:before="0" w:after="120"/>
        <w:rPr>
          <w:rFonts w:ascii="Times New Roman" w:hAnsi="Times New Roman" w:cs="Times New Roman"/>
          <w:b w:val="0"/>
          <w:i/>
          <w:iCs w:val="0"/>
          <w:color w:val="auto"/>
          <w:szCs w:val="24"/>
        </w:rPr>
      </w:pPr>
      <w:r w:rsidRPr="00E3177B">
        <w:rPr>
          <w:rFonts w:ascii="Times New Roman" w:hAnsi="Times New Roman" w:cs="Times New Roman"/>
          <w:color w:val="auto"/>
          <w:szCs w:val="24"/>
        </w:rPr>
        <w:t xml:space="preserve">Table </w:t>
      </w:r>
      <w:bookmarkEnd w:id="0"/>
      <w:r w:rsidR="00045B74" w:rsidRPr="00E3177B">
        <w:rPr>
          <w:rFonts w:ascii="Times New Roman" w:hAnsi="Times New Roman" w:cs="Times New Roman"/>
          <w:color w:val="auto"/>
          <w:szCs w:val="24"/>
        </w:rPr>
        <w:t>2</w:t>
      </w:r>
      <w:r w:rsidRPr="00E3177B">
        <w:rPr>
          <w:rFonts w:ascii="Times New Roman" w:hAnsi="Times New Roman" w:cs="Times New Roman"/>
          <w:bCs/>
          <w:iCs w:val="0"/>
          <w:color w:val="auto"/>
          <w:szCs w:val="24"/>
        </w:rPr>
        <w:t xml:space="preserve">: </w:t>
      </w:r>
      <w:r w:rsidRPr="00E3177B">
        <w:rPr>
          <w:rFonts w:ascii="Times New Roman" w:hAnsi="Times New Roman" w:cs="Times New Roman"/>
          <w:b w:val="0"/>
          <w:iCs w:val="0"/>
          <w:color w:val="auto"/>
          <w:szCs w:val="24"/>
        </w:rPr>
        <w:t xml:space="preserve">General classification of payment categories and NRA indicators </w:t>
      </w:r>
      <w:bookmarkEnd w:id="1"/>
      <w:r w:rsidRPr="00E3177B">
        <w:rPr>
          <w:rFonts w:ascii="Times New Roman" w:hAnsi="Times New Roman" w:cs="Times New Roman"/>
          <w:b w:val="0"/>
          <w:iCs w:val="0"/>
          <w:color w:val="auto"/>
          <w:szCs w:val="24"/>
        </w:rPr>
        <w:t xml:space="preserve"> </w:t>
      </w:r>
    </w:p>
    <w:tbl>
      <w:tblPr>
        <w:tblStyle w:val="TableGrid"/>
        <w:tblW w:w="9805" w:type="dxa"/>
        <w:tblLook w:val="04A0" w:firstRow="1" w:lastRow="0" w:firstColumn="1" w:lastColumn="0" w:noHBand="0" w:noVBand="1"/>
      </w:tblPr>
      <w:tblGrid>
        <w:gridCol w:w="2883"/>
        <w:gridCol w:w="968"/>
        <w:gridCol w:w="885"/>
        <w:gridCol w:w="978"/>
        <w:gridCol w:w="1138"/>
        <w:gridCol w:w="1443"/>
        <w:gridCol w:w="1510"/>
      </w:tblGrid>
      <w:tr w:rsidR="00BF6791" w:rsidRPr="00BF6791" w14:paraId="563D50D5" w14:textId="77777777" w:rsidTr="003F59E2">
        <w:trPr>
          <w:trHeight w:val="432"/>
          <w:tblHeader/>
        </w:trPr>
        <w:tc>
          <w:tcPr>
            <w:tcW w:w="3055" w:type="dxa"/>
            <w:vAlign w:val="center"/>
          </w:tcPr>
          <w:p w14:paraId="6471C3C3" w14:textId="06A9CAAE" w:rsidR="00BF6791" w:rsidRPr="00BF6791" w:rsidRDefault="00BF6791" w:rsidP="00F64450">
            <w:pPr>
              <w:rPr>
                <w:b/>
                <w:bCs/>
              </w:rPr>
            </w:pPr>
            <w:r w:rsidRPr="00BF6791">
              <w:rPr>
                <w:b/>
                <w:bCs/>
              </w:rPr>
              <w:t>P</w:t>
            </w:r>
            <w:r w:rsidR="001A680C">
              <w:rPr>
                <w:b/>
                <w:bCs/>
              </w:rPr>
              <w:t>olicy</w:t>
            </w:r>
            <w:r w:rsidRPr="00BF6791">
              <w:rPr>
                <w:b/>
                <w:bCs/>
              </w:rPr>
              <w:t xml:space="preserve"> Categories</w:t>
            </w:r>
          </w:p>
        </w:tc>
        <w:tc>
          <w:tcPr>
            <w:tcW w:w="990" w:type="dxa"/>
            <w:vAlign w:val="center"/>
          </w:tcPr>
          <w:p w14:paraId="7B6FE94D" w14:textId="77777777" w:rsidR="00BF6791" w:rsidRPr="00BF6791" w:rsidRDefault="00BF6791" w:rsidP="00F64450">
            <w:pPr>
              <w:jc w:val="center"/>
              <w:rPr>
                <w:b/>
                <w:bCs/>
              </w:rPr>
            </w:pPr>
            <w:r w:rsidRPr="00BF6791">
              <w:rPr>
                <w:b/>
                <w:bCs/>
                <w:kern w:val="24"/>
              </w:rPr>
              <w:t>Com. 1</w:t>
            </w:r>
          </w:p>
        </w:tc>
        <w:tc>
          <w:tcPr>
            <w:tcW w:w="900" w:type="dxa"/>
            <w:vAlign w:val="center"/>
          </w:tcPr>
          <w:p w14:paraId="0F562A88" w14:textId="77777777" w:rsidR="00BF6791" w:rsidRPr="00BF6791" w:rsidRDefault="00BF6791" w:rsidP="00F64450">
            <w:pPr>
              <w:jc w:val="center"/>
              <w:rPr>
                <w:b/>
                <w:bCs/>
              </w:rPr>
            </w:pPr>
            <w:r w:rsidRPr="00BF6791">
              <w:rPr>
                <w:b/>
                <w:bCs/>
                <w:kern w:val="24"/>
              </w:rPr>
              <w:t>Com. 2</w:t>
            </w:r>
          </w:p>
        </w:tc>
        <w:tc>
          <w:tcPr>
            <w:tcW w:w="990" w:type="dxa"/>
            <w:vAlign w:val="center"/>
          </w:tcPr>
          <w:p w14:paraId="77AA6B1C" w14:textId="77777777" w:rsidR="00BF6791" w:rsidRPr="00BF6791" w:rsidRDefault="00BF6791" w:rsidP="00F64450">
            <w:pPr>
              <w:jc w:val="center"/>
              <w:rPr>
                <w:b/>
                <w:bCs/>
              </w:rPr>
            </w:pPr>
            <w:r w:rsidRPr="00BF6791">
              <w:rPr>
                <w:b/>
                <w:bCs/>
                <w:kern w:val="24"/>
              </w:rPr>
              <w:t>Group x</w:t>
            </w:r>
          </w:p>
        </w:tc>
        <w:tc>
          <w:tcPr>
            <w:tcW w:w="1170" w:type="dxa"/>
            <w:vAlign w:val="center"/>
          </w:tcPr>
          <w:p w14:paraId="5FDC0ADB" w14:textId="77777777" w:rsidR="00BF6791" w:rsidRPr="00BF6791" w:rsidRDefault="00BF6791" w:rsidP="00F64450">
            <w:pPr>
              <w:jc w:val="center"/>
              <w:rPr>
                <w:b/>
                <w:bCs/>
              </w:rPr>
            </w:pPr>
            <w:r w:rsidRPr="00BF6791">
              <w:rPr>
                <w:b/>
                <w:bCs/>
                <w:kern w:val="24"/>
              </w:rPr>
              <w:t>Non-MPS</w:t>
            </w:r>
          </w:p>
        </w:tc>
        <w:tc>
          <w:tcPr>
            <w:tcW w:w="1326" w:type="dxa"/>
            <w:vAlign w:val="center"/>
          </w:tcPr>
          <w:p w14:paraId="17994CCD" w14:textId="77777777" w:rsidR="00BF6791" w:rsidRPr="00BF6791" w:rsidRDefault="00BF6791" w:rsidP="00F64450">
            <w:pPr>
              <w:jc w:val="center"/>
              <w:rPr>
                <w:b/>
                <w:bCs/>
              </w:rPr>
            </w:pPr>
            <w:r w:rsidRPr="00BF6791">
              <w:rPr>
                <w:b/>
                <w:bCs/>
                <w:kern w:val="24"/>
              </w:rPr>
              <w:t>Unallocated</w:t>
            </w:r>
          </w:p>
        </w:tc>
        <w:tc>
          <w:tcPr>
            <w:tcW w:w="1374" w:type="dxa"/>
            <w:vAlign w:val="center"/>
          </w:tcPr>
          <w:p w14:paraId="6F2414C2" w14:textId="77777777" w:rsidR="00BF6791" w:rsidRPr="00BF6791" w:rsidRDefault="00BF6791" w:rsidP="00F64450">
            <w:pPr>
              <w:jc w:val="center"/>
              <w:rPr>
                <w:b/>
                <w:bCs/>
              </w:rPr>
            </w:pPr>
            <w:r w:rsidRPr="00BF6791">
              <w:rPr>
                <w:rFonts w:eastAsia="SimHei"/>
                <w:b/>
                <w:bCs/>
                <w:kern w:val="24"/>
              </w:rPr>
              <w:t>Total</w:t>
            </w:r>
          </w:p>
        </w:tc>
      </w:tr>
      <w:tr w:rsidR="00BF6791" w:rsidRPr="00BF6791" w14:paraId="059960F5" w14:textId="77777777" w:rsidTr="00F64450">
        <w:tc>
          <w:tcPr>
            <w:tcW w:w="3055" w:type="dxa"/>
            <w:vAlign w:val="center"/>
          </w:tcPr>
          <w:p w14:paraId="0952ED0C" w14:textId="77777777" w:rsidR="00BF6791" w:rsidRPr="00BF6791" w:rsidRDefault="00BF6791" w:rsidP="00F64450">
            <w:r w:rsidRPr="00BF6791">
              <w:rPr>
                <w:kern w:val="24"/>
              </w:rPr>
              <w:t>A1. Market Price Support</w:t>
            </w:r>
          </w:p>
        </w:tc>
        <w:tc>
          <w:tcPr>
            <w:tcW w:w="990" w:type="dxa"/>
            <w:vAlign w:val="center"/>
          </w:tcPr>
          <w:p w14:paraId="4D5CADE4" w14:textId="77777777" w:rsidR="00BF6791" w:rsidRPr="00BF6791" w:rsidRDefault="00BF6791" w:rsidP="00F64450">
            <w:pPr>
              <w:jc w:val="center"/>
            </w:pPr>
            <w:r w:rsidRPr="00BF6791">
              <w:rPr>
                <w:kern w:val="24"/>
              </w:rPr>
              <w:t>NRP</w:t>
            </w:r>
            <w:r w:rsidRPr="00BF6791">
              <w:rPr>
                <w:kern w:val="24"/>
                <w:position w:val="-6"/>
                <w:vertAlign w:val="subscript"/>
              </w:rPr>
              <w:t>1</w:t>
            </w:r>
          </w:p>
        </w:tc>
        <w:tc>
          <w:tcPr>
            <w:tcW w:w="900" w:type="dxa"/>
            <w:vAlign w:val="center"/>
          </w:tcPr>
          <w:p w14:paraId="7787D712" w14:textId="77777777" w:rsidR="00BF6791" w:rsidRPr="00BF6791" w:rsidRDefault="00BF6791" w:rsidP="00F64450">
            <w:pPr>
              <w:jc w:val="center"/>
            </w:pPr>
            <w:r w:rsidRPr="00BF6791">
              <w:rPr>
                <w:kern w:val="24"/>
              </w:rPr>
              <w:t>NRP</w:t>
            </w:r>
            <w:r w:rsidRPr="00BF6791">
              <w:rPr>
                <w:kern w:val="24"/>
                <w:position w:val="-6"/>
                <w:vertAlign w:val="subscript"/>
              </w:rPr>
              <w:t>2</w:t>
            </w:r>
          </w:p>
        </w:tc>
        <w:tc>
          <w:tcPr>
            <w:tcW w:w="990" w:type="dxa"/>
            <w:vAlign w:val="center"/>
          </w:tcPr>
          <w:p w14:paraId="3152C62D" w14:textId="77777777" w:rsidR="00BF6791" w:rsidRPr="00BF6791" w:rsidRDefault="00BF6791" w:rsidP="00F64450">
            <w:pPr>
              <w:jc w:val="center"/>
            </w:pPr>
            <w:r w:rsidRPr="00BF6791">
              <w:rPr>
                <w:kern w:val="24"/>
              </w:rPr>
              <w:t>N.A.</w:t>
            </w:r>
          </w:p>
        </w:tc>
        <w:tc>
          <w:tcPr>
            <w:tcW w:w="1170" w:type="dxa"/>
            <w:vAlign w:val="center"/>
          </w:tcPr>
          <w:p w14:paraId="4F8970E8" w14:textId="77777777" w:rsidR="00BF6791" w:rsidRPr="00BF6791" w:rsidRDefault="00BF6791" w:rsidP="00F64450">
            <w:pPr>
              <w:jc w:val="center"/>
            </w:pPr>
            <w:r w:rsidRPr="00BF6791">
              <w:rPr>
                <w:kern w:val="24"/>
              </w:rPr>
              <w:t>NRP</w:t>
            </w:r>
            <w:r w:rsidRPr="00BF6791">
              <w:rPr>
                <w:kern w:val="24"/>
                <w:position w:val="-6"/>
                <w:vertAlign w:val="subscript"/>
              </w:rPr>
              <w:t>XE</w:t>
            </w:r>
          </w:p>
        </w:tc>
        <w:tc>
          <w:tcPr>
            <w:tcW w:w="1326" w:type="dxa"/>
            <w:vAlign w:val="center"/>
          </w:tcPr>
          <w:p w14:paraId="66BD55D6" w14:textId="77777777" w:rsidR="00BF6791" w:rsidRPr="00BF6791" w:rsidRDefault="00BF6791" w:rsidP="00F64450">
            <w:pPr>
              <w:jc w:val="center"/>
            </w:pPr>
          </w:p>
        </w:tc>
        <w:tc>
          <w:tcPr>
            <w:tcW w:w="1374" w:type="dxa"/>
            <w:vAlign w:val="center"/>
          </w:tcPr>
          <w:p w14:paraId="0892DF9E" w14:textId="77777777" w:rsidR="00BF6791" w:rsidRPr="00BF6791" w:rsidRDefault="00BF6791" w:rsidP="00F64450">
            <w:pPr>
              <w:jc w:val="center"/>
            </w:pPr>
            <w:r w:rsidRPr="00BF6791">
              <w:rPr>
                <w:kern w:val="24"/>
              </w:rPr>
              <w:t>NRP</w:t>
            </w:r>
            <w:r w:rsidRPr="00BF6791">
              <w:rPr>
                <w:kern w:val="24"/>
                <w:position w:val="-7"/>
                <w:vertAlign w:val="subscript"/>
              </w:rPr>
              <w:t>T</w:t>
            </w:r>
          </w:p>
        </w:tc>
      </w:tr>
      <w:tr w:rsidR="00BF6791" w:rsidRPr="00BF6791" w14:paraId="7604A629" w14:textId="77777777" w:rsidTr="00F64450">
        <w:tc>
          <w:tcPr>
            <w:tcW w:w="3055" w:type="dxa"/>
            <w:vAlign w:val="center"/>
          </w:tcPr>
          <w:p w14:paraId="68293F17" w14:textId="77777777" w:rsidR="00BF6791" w:rsidRPr="00BF6791" w:rsidRDefault="00BF6791" w:rsidP="00F64450">
            <w:pPr>
              <w:rPr>
                <w:i/>
                <w:iCs/>
              </w:rPr>
            </w:pPr>
            <w:r w:rsidRPr="00BF6791">
              <w:rPr>
                <w:i/>
                <w:iCs/>
                <w:kern w:val="24"/>
              </w:rPr>
              <w:t>A2. Payments based on output</w:t>
            </w:r>
          </w:p>
        </w:tc>
        <w:tc>
          <w:tcPr>
            <w:tcW w:w="990" w:type="dxa"/>
            <w:vAlign w:val="center"/>
          </w:tcPr>
          <w:p w14:paraId="11663604" w14:textId="77777777" w:rsidR="00BF6791" w:rsidRPr="00BF6791" w:rsidRDefault="00BF6791" w:rsidP="00F64450">
            <w:pPr>
              <w:jc w:val="center"/>
            </w:pPr>
          </w:p>
        </w:tc>
        <w:tc>
          <w:tcPr>
            <w:tcW w:w="900" w:type="dxa"/>
            <w:vAlign w:val="center"/>
          </w:tcPr>
          <w:p w14:paraId="1932F712" w14:textId="77777777" w:rsidR="00BF6791" w:rsidRPr="00BF6791" w:rsidRDefault="00BF6791" w:rsidP="00F64450">
            <w:pPr>
              <w:jc w:val="center"/>
            </w:pPr>
          </w:p>
        </w:tc>
        <w:tc>
          <w:tcPr>
            <w:tcW w:w="990" w:type="dxa"/>
            <w:vAlign w:val="center"/>
          </w:tcPr>
          <w:p w14:paraId="533D292E" w14:textId="77777777" w:rsidR="00BF6791" w:rsidRPr="00BF6791" w:rsidRDefault="00BF6791" w:rsidP="00F64450">
            <w:pPr>
              <w:jc w:val="center"/>
            </w:pPr>
          </w:p>
          <w:p w14:paraId="6C61BA07" w14:textId="77777777" w:rsidR="00BF6791" w:rsidRPr="00BF6791" w:rsidRDefault="00BF6791" w:rsidP="00F64450">
            <w:pPr>
              <w:jc w:val="center"/>
            </w:pPr>
          </w:p>
        </w:tc>
        <w:tc>
          <w:tcPr>
            <w:tcW w:w="1170" w:type="dxa"/>
            <w:vAlign w:val="center"/>
          </w:tcPr>
          <w:p w14:paraId="7C2A8318" w14:textId="77777777" w:rsidR="00BF6791" w:rsidRPr="00BF6791" w:rsidRDefault="00BF6791" w:rsidP="00F64450">
            <w:pPr>
              <w:jc w:val="center"/>
            </w:pPr>
          </w:p>
        </w:tc>
        <w:tc>
          <w:tcPr>
            <w:tcW w:w="1326" w:type="dxa"/>
            <w:vAlign w:val="center"/>
          </w:tcPr>
          <w:p w14:paraId="05F426EF" w14:textId="77777777" w:rsidR="00BF6791" w:rsidRPr="00BF6791" w:rsidRDefault="00BF6791" w:rsidP="00F64450">
            <w:pPr>
              <w:jc w:val="center"/>
            </w:pPr>
          </w:p>
        </w:tc>
        <w:tc>
          <w:tcPr>
            <w:tcW w:w="1374" w:type="dxa"/>
            <w:vAlign w:val="center"/>
          </w:tcPr>
          <w:p w14:paraId="02865201" w14:textId="77777777" w:rsidR="00BF6791" w:rsidRPr="00BF6791" w:rsidRDefault="00BF6791" w:rsidP="00F64450">
            <w:pPr>
              <w:jc w:val="center"/>
            </w:pPr>
            <w:r w:rsidRPr="00BF6791">
              <w:rPr>
                <w:kern w:val="24"/>
              </w:rPr>
              <w:t>NRA_Output</w:t>
            </w:r>
          </w:p>
        </w:tc>
      </w:tr>
      <w:tr w:rsidR="00BF6791" w:rsidRPr="00BF6791" w14:paraId="35911ECA" w14:textId="77777777" w:rsidTr="00F64450">
        <w:tc>
          <w:tcPr>
            <w:tcW w:w="3055" w:type="dxa"/>
            <w:vAlign w:val="center"/>
          </w:tcPr>
          <w:p w14:paraId="2B675CC6" w14:textId="77777777" w:rsidR="00BF6791" w:rsidRPr="00BF6791" w:rsidRDefault="00BF6791" w:rsidP="00F64450">
            <w:r w:rsidRPr="00BF6791">
              <w:rPr>
                <w:i/>
                <w:iCs/>
                <w:kern w:val="24"/>
              </w:rPr>
              <w:t>B. Payments based on input use</w:t>
            </w:r>
          </w:p>
        </w:tc>
        <w:tc>
          <w:tcPr>
            <w:tcW w:w="990" w:type="dxa"/>
            <w:vAlign w:val="center"/>
          </w:tcPr>
          <w:p w14:paraId="375ED54C" w14:textId="77777777" w:rsidR="00BF6791" w:rsidRPr="00BF6791" w:rsidRDefault="00BF6791" w:rsidP="00F64450">
            <w:pPr>
              <w:jc w:val="center"/>
            </w:pPr>
          </w:p>
        </w:tc>
        <w:tc>
          <w:tcPr>
            <w:tcW w:w="900" w:type="dxa"/>
            <w:vAlign w:val="center"/>
          </w:tcPr>
          <w:p w14:paraId="4C299562" w14:textId="77777777" w:rsidR="00BF6791" w:rsidRPr="00BF6791" w:rsidRDefault="00BF6791" w:rsidP="00F64450">
            <w:pPr>
              <w:jc w:val="center"/>
            </w:pPr>
          </w:p>
        </w:tc>
        <w:tc>
          <w:tcPr>
            <w:tcW w:w="990" w:type="dxa"/>
            <w:vAlign w:val="center"/>
          </w:tcPr>
          <w:p w14:paraId="7254A318" w14:textId="77777777" w:rsidR="00BF6791" w:rsidRPr="00BF6791" w:rsidRDefault="00BF6791" w:rsidP="00F64450">
            <w:pPr>
              <w:jc w:val="center"/>
            </w:pPr>
          </w:p>
          <w:p w14:paraId="3401CF66" w14:textId="77777777" w:rsidR="00BF6791" w:rsidRPr="00BF6791" w:rsidRDefault="00BF6791" w:rsidP="00F64450">
            <w:pPr>
              <w:jc w:val="center"/>
            </w:pPr>
          </w:p>
        </w:tc>
        <w:tc>
          <w:tcPr>
            <w:tcW w:w="1170" w:type="dxa"/>
            <w:vAlign w:val="center"/>
          </w:tcPr>
          <w:p w14:paraId="447E4350" w14:textId="77777777" w:rsidR="00BF6791" w:rsidRPr="00BF6791" w:rsidRDefault="00BF6791" w:rsidP="00F64450">
            <w:pPr>
              <w:jc w:val="center"/>
            </w:pPr>
          </w:p>
        </w:tc>
        <w:tc>
          <w:tcPr>
            <w:tcW w:w="1326" w:type="dxa"/>
            <w:vAlign w:val="center"/>
          </w:tcPr>
          <w:p w14:paraId="3AE923F0" w14:textId="77777777" w:rsidR="00BF6791" w:rsidRPr="00BF6791" w:rsidRDefault="00BF6791" w:rsidP="00F64450">
            <w:pPr>
              <w:jc w:val="center"/>
            </w:pPr>
          </w:p>
        </w:tc>
        <w:tc>
          <w:tcPr>
            <w:tcW w:w="1374" w:type="dxa"/>
            <w:vAlign w:val="center"/>
          </w:tcPr>
          <w:p w14:paraId="1D1479CB" w14:textId="77777777" w:rsidR="00BF6791" w:rsidRPr="00BF6791" w:rsidRDefault="00BF6791" w:rsidP="00F64450">
            <w:pPr>
              <w:jc w:val="center"/>
            </w:pPr>
            <w:r w:rsidRPr="00BF6791">
              <w:t>NRA_Input</w:t>
            </w:r>
          </w:p>
        </w:tc>
      </w:tr>
      <w:tr w:rsidR="00BF6791" w:rsidRPr="00BF6791" w14:paraId="3CA5AE30" w14:textId="77777777" w:rsidTr="00F64450">
        <w:tc>
          <w:tcPr>
            <w:tcW w:w="3055" w:type="dxa"/>
            <w:vAlign w:val="center"/>
          </w:tcPr>
          <w:p w14:paraId="1B56EE26" w14:textId="77777777" w:rsidR="00BF6791" w:rsidRPr="00BF6791" w:rsidRDefault="00BF6791" w:rsidP="00F64450">
            <w:r w:rsidRPr="00BF6791">
              <w:rPr>
                <w:i/>
                <w:iCs/>
                <w:kern w:val="24"/>
              </w:rPr>
              <w:t>C. Payments based on current A/An/R/I, production required</w:t>
            </w:r>
          </w:p>
        </w:tc>
        <w:tc>
          <w:tcPr>
            <w:tcW w:w="990" w:type="dxa"/>
            <w:vAlign w:val="center"/>
          </w:tcPr>
          <w:p w14:paraId="70FAD535" w14:textId="77777777" w:rsidR="00BF6791" w:rsidRPr="00BF6791" w:rsidRDefault="00BF6791" w:rsidP="00F64450">
            <w:pPr>
              <w:jc w:val="center"/>
            </w:pPr>
          </w:p>
        </w:tc>
        <w:tc>
          <w:tcPr>
            <w:tcW w:w="900" w:type="dxa"/>
            <w:vAlign w:val="center"/>
          </w:tcPr>
          <w:p w14:paraId="61D2554D" w14:textId="77777777" w:rsidR="00BF6791" w:rsidRPr="00BF6791" w:rsidRDefault="00BF6791" w:rsidP="00F64450">
            <w:pPr>
              <w:jc w:val="center"/>
            </w:pPr>
          </w:p>
        </w:tc>
        <w:tc>
          <w:tcPr>
            <w:tcW w:w="990" w:type="dxa"/>
            <w:vAlign w:val="center"/>
          </w:tcPr>
          <w:p w14:paraId="5D1F5F56" w14:textId="77777777" w:rsidR="00BF6791" w:rsidRPr="00BF6791" w:rsidRDefault="00BF6791" w:rsidP="00F64450">
            <w:pPr>
              <w:jc w:val="center"/>
            </w:pPr>
          </w:p>
          <w:p w14:paraId="17994375" w14:textId="77777777" w:rsidR="00BF6791" w:rsidRPr="00BF6791" w:rsidRDefault="00BF6791" w:rsidP="00F64450">
            <w:pPr>
              <w:jc w:val="center"/>
            </w:pPr>
          </w:p>
        </w:tc>
        <w:tc>
          <w:tcPr>
            <w:tcW w:w="1170" w:type="dxa"/>
            <w:vAlign w:val="center"/>
          </w:tcPr>
          <w:p w14:paraId="6DBD917B" w14:textId="77777777" w:rsidR="00BF6791" w:rsidRPr="00BF6791" w:rsidRDefault="00BF6791" w:rsidP="00F64450">
            <w:pPr>
              <w:jc w:val="center"/>
            </w:pPr>
          </w:p>
        </w:tc>
        <w:tc>
          <w:tcPr>
            <w:tcW w:w="1326" w:type="dxa"/>
            <w:vAlign w:val="center"/>
          </w:tcPr>
          <w:p w14:paraId="1C82FB72" w14:textId="77777777" w:rsidR="00BF6791" w:rsidRPr="00BF6791" w:rsidRDefault="00BF6791" w:rsidP="00F64450">
            <w:pPr>
              <w:jc w:val="center"/>
            </w:pPr>
          </w:p>
        </w:tc>
        <w:tc>
          <w:tcPr>
            <w:tcW w:w="1374" w:type="dxa"/>
            <w:vMerge w:val="restart"/>
            <w:vAlign w:val="center"/>
          </w:tcPr>
          <w:p w14:paraId="67F4FD48" w14:textId="77777777" w:rsidR="00BF6791" w:rsidRPr="00BF6791" w:rsidRDefault="00BF6791" w:rsidP="00F64450">
            <w:pPr>
              <w:jc w:val="center"/>
            </w:pPr>
            <w:proofErr w:type="spellStart"/>
            <w:r w:rsidRPr="00BF6791">
              <w:t>NRA_Others</w:t>
            </w:r>
            <w:proofErr w:type="spellEnd"/>
          </w:p>
        </w:tc>
      </w:tr>
      <w:tr w:rsidR="00BF6791" w:rsidRPr="00BF6791" w14:paraId="393B6BCC" w14:textId="77777777" w:rsidTr="00F64450">
        <w:tc>
          <w:tcPr>
            <w:tcW w:w="3055" w:type="dxa"/>
            <w:vAlign w:val="center"/>
          </w:tcPr>
          <w:p w14:paraId="3B184B05" w14:textId="77777777" w:rsidR="00BF6791" w:rsidRPr="00BF6791" w:rsidRDefault="00BF6791" w:rsidP="00F64450">
            <w:r w:rsidRPr="00BF6791">
              <w:rPr>
                <w:i/>
                <w:iCs/>
                <w:kern w:val="24"/>
              </w:rPr>
              <w:t>D. Payments based on non-current A/An/R/I, production required</w:t>
            </w:r>
          </w:p>
        </w:tc>
        <w:tc>
          <w:tcPr>
            <w:tcW w:w="990" w:type="dxa"/>
            <w:vAlign w:val="center"/>
          </w:tcPr>
          <w:p w14:paraId="2E02C1A7" w14:textId="77777777" w:rsidR="00BF6791" w:rsidRPr="00BF6791" w:rsidRDefault="00BF6791" w:rsidP="00F64450">
            <w:pPr>
              <w:jc w:val="center"/>
            </w:pPr>
          </w:p>
        </w:tc>
        <w:tc>
          <w:tcPr>
            <w:tcW w:w="900" w:type="dxa"/>
            <w:vAlign w:val="center"/>
          </w:tcPr>
          <w:p w14:paraId="3ACBFE68" w14:textId="77777777" w:rsidR="00BF6791" w:rsidRPr="00BF6791" w:rsidRDefault="00BF6791" w:rsidP="00F64450">
            <w:pPr>
              <w:jc w:val="center"/>
            </w:pPr>
          </w:p>
        </w:tc>
        <w:tc>
          <w:tcPr>
            <w:tcW w:w="990" w:type="dxa"/>
            <w:vAlign w:val="center"/>
          </w:tcPr>
          <w:p w14:paraId="3EEBB459" w14:textId="77777777" w:rsidR="00BF6791" w:rsidRPr="00BF6791" w:rsidRDefault="00BF6791" w:rsidP="00F64450">
            <w:pPr>
              <w:jc w:val="center"/>
            </w:pPr>
          </w:p>
          <w:p w14:paraId="737288A1" w14:textId="77777777" w:rsidR="00BF6791" w:rsidRPr="00BF6791" w:rsidRDefault="00BF6791" w:rsidP="00F64450">
            <w:pPr>
              <w:jc w:val="center"/>
            </w:pPr>
          </w:p>
        </w:tc>
        <w:tc>
          <w:tcPr>
            <w:tcW w:w="1170" w:type="dxa"/>
            <w:vAlign w:val="center"/>
          </w:tcPr>
          <w:p w14:paraId="0BF08193" w14:textId="77777777" w:rsidR="00BF6791" w:rsidRPr="00BF6791" w:rsidRDefault="00BF6791" w:rsidP="00F64450">
            <w:pPr>
              <w:jc w:val="center"/>
            </w:pPr>
          </w:p>
        </w:tc>
        <w:tc>
          <w:tcPr>
            <w:tcW w:w="1326" w:type="dxa"/>
            <w:vAlign w:val="center"/>
          </w:tcPr>
          <w:p w14:paraId="24A7AC43" w14:textId="77777777" w:rsidR="00BF6791" w:rsidRPr="00BF6791" w:rsidRDefault="00BF6791" w:rsidP="00F64450">
            <w:pPr>
              <w:jc w:val="center"/>
            </w:pPr>
          </w:p>
        </w:tc>
        <w:tc>
          <w:tcPr>
            <w:tcW w:w="1374" w:type="dxa"/>
            <w:vMerge/>
            <w:vAlign w:val="center"/>
          </w:tcPr>
          <w:p w14:paraId="4F88413C" w14:textId="77777777" w:rsidR="00BF6791" w:rsidRPr="00BF6791" w:rsidRDefault="00BF6791" w:rsidP="00F64450">
            <w:pPr>
              <w:jc w:val="center"/>
            </w:pPr>
          </w:p>
        </w:tc>
      </w:tr>
      <w:tr w:rsidR="00BF6791" w:rsidRPr="00BF6791" w14:paraId="2E57D02B" w14:textId="77777777" w:rsidTr="00F64450">
        <w:tc>
          <w:tcPr>
            <w:tcW w:w="3055" w:type="dxa"/>
            <w:vAlign w:val="center"/>
          </w:tcPr>
          <w:p w14:paraId="37A33226" w14:textId="77777777" w:rsidR="00BF6791" w:rsidRPr="00BF6791" w:rsidRDefault="00BF6791" w:rsidP="00F64450">
            <w:r w:rsidRPr="00BF6791">
              <w:rPr>
                <w:i/>
                <w:iCs/>
                <w:kern w:val="24"/>
              </w:rPr>
              <w:lastRenderedPageBreak/>
              <w:t>E. Payments based on non-current A/An/R/I, production not required</w:t>
            </w:r>
          </w:p>
        </w:tc>
        <w:tc>
          <w:tcPr>
            <w:tcW w:w="990" w:type="dxa"/>
            <w:vAlign w:val="center"/>
          </w:tcPr>
          <w:p w14:paraId="0AC7A8C2" w14:textId="77777777" w:rsidR="00BF6791" w:rsidRPr="00BF6791" w:rsidRDefault="00BF6791" w:rsidP="00F64450">
            <w:pPr>
              <w:jc w:val="center"/>
            </w:pPr>
          </w:p>
        </w:tc>
        <w:tc>
          <w:tcPr>
            <w:tcW w:w="900" w:type="dxa"/>
            <w:vAlign w:val="center"/>
          </w:tcPr>
          <w:p w14:paraId="28A1E2DC" w14:textId="77777777" w:rsidR="00BF6791" w:rsidRPr="00BF6791" w:rsidRDefault="00BF6791" w:rsidP="00F64450">
            <w:pPr>
              <w:jc w:val="center"/>
            </w:pPr>
          </w:p>
        </w:tc>
        <w:tc>
          <w:tcPr>
            <w:tcW w:w="990" w:type="dxa"/>
            <w:vAlign w:val="center"/>
          </w:tcPr>
          <w:p w14:paraId="6588D73B" w14:textId="77777777" w:rsidR="00BF6791" w:rsidRPr="00BF6791" w:rsidRDefault="00BF6791" w:rsidP="00F64450">
            <w:pPr>
              <w:jc w:val="center"/>
            </w:pPr>
          </w:p>
          <w:p w14:paraId="4DB5CCF2" w14:textId="77777777" w:rsidR="00BF6791" w:rsidRPr="00BF6791" w:rsidRDefault="00BF6791" w:rsidP="00F64450">
            <w:pPr>
              <w:jc w:val="center"/>
            </w:pPr>
          </w:p>
        </w:tc>
        <w:tc>
          <w:tcPr>
            <w:tcW w:w="1170" w:type="dxa"/>
            <w:vAlign w:val="center"/>
          </w:tcPr>
          <w:p w14:paraId="528449F0" w14:textId="77777777" w:rsidR="00BF6791" w:rsidRPr="00BF6791" w:rsidRDefault="00BF6791" w:rsidP="00F64450">
            <w:pPr>
              <w:jc w:val="center"/>
            </w:pPr>
          </w:p>
        </w:tc>
        <w:tc>
          <w:tcPr>
            <w:tcW w:w="1326" w:type="dxa"/>
            <w:vAlign w:val="center"/>
          </w:tcPr>
          <w:p w14:paraId="381556DA" w14:textId="77777777" w:rsidR="00BF6791" w:rsidRPr="00BF6791" w:rsidRDefault="00BF6791" w:rsidP="00F64450">
            <w:pPr>
              <w:jc w:val="center"/>
            </w:pPr>
          </w:p>
        </w:tc>
        <w:tc>
          <w:tcPr>
            <w:tcW w:w="1374" w:type="dxa"/>
            <w:vMerge/>
            <w:vAlign w:val="center"/>
          </w:tcPr>
          <w:p w14:paraId="25B1BACB" w14:textId="77777777" w:rsidR="00BF6791" w:rsidRPr="00BF6791" w:rsidRDefault="00BF6791" w:rsidP="00F64450">
            <w:pPr>
              <w:jc w:val="center"/>
            </w:pPr>
          </w:p>
        </w:tc>
      </w:tr>
      <w:tr w:rsidR="00BF6791" w:rsidRPr="00BF6791" w14:paraId="691F1629" w14:textId="77777777" w:rsidTr="00F64450">
        <w:tc>
          <w:tcPr>
            <w:tcW w:w="3055" w:type="dxa"/>
            <w:vAlign w:val="center"/>
          </w:tcPr>
          <w:p w14:paraId="79D9D3F7" w14:textId="77777777" w:rsidR="00BF6791" w:rsidRPr="00BF6791" w:rsidRDefault="00BF6791" w:rsidP="00F64450">
            <w:r w:rsidRPr="00BF6791">
              <w:rPr>
                <w:i/>
                <w:iCs/>
                <w:kern w:val="24"/>
              </w:rPr>
              <w:t>F. Payments based on non-commodity criteria</w:t>
            </w:r>
          </w:p>
        </w:tc>
        <w:tc>
          <w:tcPr>
            <w:tcW w:w="990" w:type="dxa"/>
            <w:vAlign w:val="center"/>
          </w:tcPr>
          <w:p w14:paraId="34A59C79" w14:textId="77777777" w:rsidR="00BF6791" w:rsidRPr="00BF6791" w:rsidRDefault="00BF6791" w:rsidP="00F64450">
            <w:pPr>
              <w:jc w:val="center"/>
            </w:pPr>
          </w:p>
        </w:tc>
        <w:tc>
          <w:tcPr>
            <w:tcW w:w="900" w:type="dxa"/>
            <w:vAlign w:val="center"/>
          </w:tcPr>
          <w:p w14:paraId="50709D9B" w14:textId="77777777" w:rsidR="00BF6791" w:rsidRPr="00BF6791" w:rsidRDefault="00BF6791" w:rsidP="00F64450">
            <w:pPr>
              <w:jc w:val="center"/>
            </w:pPr>
          </w:p>
        </w:tc>
        <w:tc>
          <w:tcPr>
            <w:tcW w:w="990" w:type="dxa"/>
            <w:vAlign w:val="center"/>
          </w:tcPr>
          <w:p w14:paraId="0B5B2060" w14:textId="77777777" w:rsidR="00BF6791" w:rsidRPr="00BF6791" w:rsidRDefault="00BF6791" w:rsidP="00F64450">
            <w:pPr>
              <w:jc w:val="center"/>
            </w:pPr>
          </w:p>
          <w:p w14:paraId="41F5A6EA" w14:textId="77777777" w:rsidR="00BF6791" w:rsidRPr="00BF6791" w:rsidRDefault="00BF6791" w:rsidP="00F64450">
            <w:pPr>
              <w:jc w:val="center"/>
            </w:pPr>
          </w:p>
        </w:tc>
        <w:tc>
          <w:tcPr>
            <w:tcW w:w="1170" w:type="dxa"/>
            <w:vAlign w:val="center"/>
          </w:tcPr>
          <w:p w14:paraId="08114703" w14:textId="77777777" w:rsidR="00BF6791" w:rsidRPr="00BF6791" w:rsidRDefault="00BF6791" w:rsidP="00F64450">
            <w:pPr>
              <w:jc w:val="center"/>
            </w:pPr>
          </w:p>
        </w:tc>
        <w:tc>
          <w:tcPr>
            <w:tcW w:w="1326" w:type="dxa"/>
            <w:vAlign w:val="center"/>
          </w:tcPr>
          <w:p w14:paraId="19DDF610" w14:textId="77777777" w:rsidR="00BF6791" w:rsidRPr="00BF6791" w:rsidRDefault="00BF6791" w:rsidP="00F64450">
            <w:pPr>
              <w:jc w:val="center"/>
            </w:pPr>
          </w:p>
        </w:tc>
        <w:tc>
          <w:tcPr>
            <w:tcW w:w="1374" w:type="dxa"/>
            <w:vMerge/>
            <w:vAlign w:val="center"/>
          </w:tcPr>
          <w:p w14:paraId="73359196" w14:textId="77777777" w:rsidR="00BF6791" w:rsidRPr="00BF6791" w:rsidRDefault="00BF6791" w:rsidP="00F64450">
            <w:pPr>
              <w:jc w:val="center"/>
            </w:pPr>
          </w:p>
        </w:tc>
      </w:tr>
      <w:tr w:rsidR="00BF6791" w:rsidRPr="00BF6791" w14:paraId="72CCB557" w14:textId="77777777" w:rsidTr="00F64450">
        <w:tc>
          <w:tcPr>
            <w:tcW w:w="3055" w:type="dxa"/>
            <w:vAlign w:val="center"/>
          </w:tcPr>
          <w:p w14:paraId="68A207AC" w14:textId="77777777" w:rsidR="00BF6791" w:rsidRPr="00BF6791" w:rsidRDefault="00BF6791" w:rsidP="00F64450">
            <w:r w:rsidRPr="00BF6791">
              <w:rPr>
                <w:i/>
                <w:iCs/>
                <w:kern w:val="24"/>
              </w:rPr>
              <w:t>G. Miscellaneous payments</w:t>
            </w:r>
          </w:p>
        </w:tc>
        <w:tc>
          <w:tcPr>
            <w:tcW w:w="990" w:type="dxa"/>
            <w:vAlign w:val="center"/>
          </w:tcPr>
          <w:p w14:paraId="2B0D3717" w14:textId="77777777" w:rsidR="00BF6791" w:rsidRPr="00BF6791" w:rsidRDefault="00BF6791" w:rsidP="00F64450">
            <w:pPr>
              <w:jc w:val="center"/>
            </w:pPr>
          </w:p>
        </w:tc>
        <w:tc>
          <w:tcPr>
            <w:tcW w:w="900" w:type="dxa"/>
            <w:vAlign w:val="center"/>
          </w:tcPr>
          <w:p w14:paraId="35072C85" w14:textId="77777777" w:rsidR="00BF6791" w:rsidRPr="00BF6791" w:rsidRDefault="00BF6791" w:rsidP="00F64450">
            <w:pPr>
              <w:jc w:val="center"/>
            </w:pPr>
          </w:p>
        </w:tc>
        <w:tc>
          <w:tcPr>
            <w:tcW w:w="990" w:type="dxa"/>
            <w:vAlign w:val="center"/>
          </w:tcPr>
          <w:p w14:paraId="6F43C8E0" w14:textId="77777777" w:rsidR="00BF6791" w:rsidRPr="00BF6791" w:rsidRDefault="00BF6791" w:rsidP="00F64450">
            <w:pPr>
              <w:jc w:val="center"/>
            </w:pPr>
          </w:p>
          <w:p w14:paraId="167E1C0F" w14:textId="77777777" w:rsidR="00BF6791" w:rsidRPr="00BF6791" w:rsidRDefault="00BF6791" w:rsidP="00F64450">
            <w:pPr>
              <w:jc w:val="center"/>
            </w:pPr>
          </w:p>
        </w:tc>
        <w:tc>
          <w:tcPr>
            <w:tcW w:w="1170" w:type="dxa"/>
            <w:vAlign w:val="center"/>
          </w:tcPr>
          <w:p w14:paraId="7F072777" w14:textId="77777777" w:rsidR="00BF6791" w:rsidRPr="00BF6791" w:rsidRDefault="00BF6791" w:rsidP="00F64450">
            <w:pPr>
              <w:jc w:val="center"/>
            </w:pPr>
          </w:p>
        </w:tc>
        <w:tc>
          <w:tcPr>
            <w:tcW w:w="1326" w:type="dxa"/>
            <w:vAlign w:val="center"/>
          </w:tcPr>
          <w:p w14:paraId="5081ED07" w14:textId="77777777" w:rsidR="00BF6791" w:rsidRPr="00BF6791" w:rsidRDefault="00BF6791" w:rsidP="00F64450">
            <w:pPr>
              <w:jc w:val="center"/>
            </w:pPr>
          </w:p>
        </w:tc>
        <w:tc>
          <w:tcPr>
            <w:tcW w:w="1374" w:type="dxa"/>
            <w:vMerge/>
            <w:vAlign w:val="center"/>
          </w:tcPr>
          <w:p w14:paraId="236EF57E" w14:textId="77777777" w:rsidR="00BF6791" w:rsidRPr="00BF6791" w:rsidRDefault="00BF6791" w:rsidP="00F64450">
            <w:pPr>
              <w:jc w:val="center"/>
            </w:pPr>
          </w:p>
        </w:tc>
      </w:tr>
      <w:tr w:rsidR="00BF6791" w:rsidRPr="00BF6791" w14:paraId="356888EE" w14:textId="77777777" w:rsidTr="00F64450">
        <w:tc>
          <w:tcPr>
            <w:tcW w:w="3055" w:type="dxa"/>
            <w:vAlign w:val="center"/>
          </w:tcPr>
          <w:p w14:paraId="3255D141" w14:textId="77777777" w:rsidR="00BF6791" w:rsidRPr="00BF6791" w:rsidRDefault="00BF6791" w:rsidP="00F64450">
            <w:r w:rsidRPr="00BF6791">
              <w:rPr>
                <w:kern w:val="24"/>
              </w:rPr>
              <w:t>TOTAL by commodity</w:t>
            </w:r>
          </w:p>
        </w:tc>
        <w:tc>
          <w:tcPr>
            <w:tcW w:w="990" w:type="dxa"/>
            <w:vAlign w:val="center"/>
          </w:tcPr>
          <w:p w14:paraId="21496DD3" w14:textId="77777777" w:rsidR="00BF6791" w:rsidRPr="00BF6791" w:rsidRDefault="00BF6791" w:rsidP="00F64450">
            <w:pPr>
              <w:jc w:val="center"/>
            </w:pPr>
            <w:r w:rsidRPr="00BF6791">
              <w:rPr>
                <w:kern w:val="24"/>
              </w:rPr>
              <w:t>NRA</w:t>
            </w:r>
            <w:r w:rsidRPr="00BF6791">
              <w:rPr>
                <w:kern w:val="24"/>
                <w:position w:val="-6"/>
                <w:vertAlign w:val="subscript"/>
              </w:rPr>
              <w:t>1</w:t>
            </w:r>
          </w:p>
        </w:tc>
        <w:tc>
          <w:tcPr>
            <w:tcW w:w="900" w:type="dxa"/>
            <w:vAlign w:val="center"/>
          </w:tcPr>
          <w:p w14:paraId="19070EDF" w14:textId="77777777" w:rsidR="00BF6791" w:rsidRPr="00BF6791" w:rsidRDefault="00BF6791" w:rsidP="00F64450">
            <w:pPr>
              <w:jc w:val="center"/>
            </w:pPr>
            <w:r w:rsidRPr="00BF6791">
              <w:rPr>
                <w:kern w:val="24"/>
              </w:rPr>
              <w:t>NRA</w:t>
            </w:r>
            <w:r w:rsidRPr="00BF6791">
              <w:rPr>
                <w:kern w:val="24"/>
                <w:position w:val="-6"/>
                <w:vertAlign w:val="subscript"/>
              </w:rPr>
              <w:t xml:space="preserve"> 2</w:t>
            </w:r>
          </w:p>
        </w:tc>
        <w:tc>
          <w:tcPr>
            <w:tcW w:w="990" w:type="dxa"/>
            <w:vAlign w:val="center"/>
          </w:tcPr>
          <w:p w14:paraId="3ED244F9" w14:textId="77777777" w:rsidR="00BF6791" w:rsidRPr="00BF6791" w:rsidRDefault="00BF6791" w:rsidP="00F64450">
            <w:pPr>
              <w:jc w:val="center"/>
            </w:pPr>
          </w:p>
        </w:tc>
        <w:tc>
          <w:tcPr>
            <w:tcW w:w="1170" w:type="dxa"/>
            <w:vAlign w:val="center"/>
          </w:tcPr>
          <w:p w14:paraId="23ACD4A2" w14:textId="77777777" w:rsidR="00BF6791" w:rsidRPr="00BF6791" w:rsidRDefault="00BF6791" w:rsidP="00F64450">
            <w:pPr>
              <w:jc w:val="center"/>
            </w:pPr>
            <w:r w:rsidRPr="00BF6791">
              <w:rPr>
                <w:kern w:val="24"/>
              </w:rPr>
              <w:t>NRA</w:t>
            </w:r>
            <w:r w:rsidRPr="00BF6791">
              <w:rPr>
                <w:kern w:val="24"/>
                <w:position w:val="-6"/>
                <w:vertAlign w:val="subscript"/>
              </w:rPr>
              <w:t xml:space="preserve"> XE</w:t>
            </w:r>
          </w:p>
        </w:tc>
        <w:tc>
          <w:tcPr>
            <w:tcW w:w="1326" w:type="dxa"/>
            <w:vAlign w:val="center"/>
          </w:tcPr>
          <w:p w14:paraId="38660BF7" w14:textId="77777777" w:rsidR="00BF6791" w:rsidRPr="00BF6791" w:rsidRDefault="00BF6791" w:rsidP="00F64450">
            <w:pPr>
              <w:jc w:val="center"/>
            </w:pPr>
          </w:p>
        </w:tc>
        <w:tc>
          <w:tcPr>
            <w:tcW w:w="1374" w:type="dxa"/>
            <w:vAlign w:val="center"/>
          </w:tcPr>
          <w:p w14:paraId="3DE5D6A7" w14:textId="77777777" w:rsidR="00BF6791" w:rsidRPr="00BF6791" w:rsidRDefault="00BF6791" w:rsidP="00F64450">
            <w:pPr>
              <w:jc w:val="center"/>
            </w:pPr>
            <w:r w:rsidRPr="00BF6791">
              <w:rPr>
                <w:kern w:val="24"/>
              </w:rPr>
              <w:t>NRA</w:t>
            </w:r>
          </w:p>
        </w:tc>
      </w:tr>
    </w:tbl>
    <w:p w14:paraId="0659D826" w14:textId="7A31BC11" w:rsidR="00BF6791" w:rsidRPr="00BF6791" w:rsidRDefault="00E43AA5" w:rsidP="00BF6791">
      <w:pPr>
        <w:jc w:val="both"/>
      </w:pPr>
      <w:r>
        <w:t xml:space="preserve">Source: Authors’ classification based on OECD methodology </w:t>
      </w:r>
    </w:p>
    <w:p w14:paraId="79FAB1AF" w14:textId="77777777" w:rsidR="006F6AD7" w:rsidRDefault="006F6AD7" w:rsidP="00C87261">
      <w:pPr>
        <w:tabs>
          <w:tab w:val="left" w:pos="540"/>
        </w:tabs>
        <w:spacing w:after="120"/>
      </w:pPr>
    </w:p>
    <w:p w14:paraId="6DA1BABD" w14:textId="0332AF36" w:rsidR="009829BB" w:rsidRDefault="006F6AD7" w:rsidP="009829BB">
      <w:pPr>
        <w:tabs>
          <w:tab w:val="left" w:pos="1080"/>
        </w:tabs>
        <w:spacing w:after="120"/>
        <w:rPr>
          <w:i/>
        </w:rPr>
      </w:pPr>
      <w:r>
        <w:rPr>
          <w:b/>
          <w:sz w:val="28"/>
          <w:szCs w:val="28"/>
        </w:rPr>
        <w:t>5</w:t>
      </w:r>
      <w:r w:rsidR="009829BB" w:rsidRPr="00933237">
        <w:rPr>
          <w:b/>
          <w:sz w:val="28"/>
          <w:szCs w:val="28"/>
        </w:rPr>
        <w:t xml:space="preserve">. </w:t>
      </w:r>
      <w:r w:rsidR="009829BB">
        <w:rPr>
          <w:b/>
          <w:sz w:val="28"/>
          <w:szCs w:val="28"/>
        </w:rPr>
        <w:t xml:space="preserve">What do we learn from </w:t>
      </w:r>
      <w:r>
        <w:rPr>
          <w:b/>
          <w:sz w:val="28"/>
          <w:szCs w:val="28"/>
        </w:rPr>
        <w:t>the Measures</w:t>
      </w:r>
      <w:r w:rsidR="009829BB">
        <w:rPr>
          <w:b/>
          <w:sz w:val="28"/>
          <w:szCs w:val="28"/>
        </w:rPr>
        <w:t xml:space="preserve">? </w:t>
      </w:r>
      <w:r w:rsidR="009829BB">
        <w:t xml:space="preserve"> </w:t>
      </w:r>
    </w:p>
    <w:p w14:paraId="7085D5E0" w14:textId="77777777" w:rsidR="009829BB" w:rsidRDefault="009829BB" w:rsidP="00736721">
      <w:pPr>
        <w:tabs>
          <w:tab w:val="left" w:pos="540"/>
        </w:tabs>
        <w:spacing w:after="120"/>
        <w:ind w:firstLine="567"/>
      </w:pPr>
    </w:p>
    <w:p w14:paraId="596ADDE5" w14:textId="77777777" w:rsidR="00D00580" w:rsidRDefault="001C18ED" w:rsidP="00B21940">
      <w:pPr>
        <w:tabs>
          <w:tab w:val="left" w:pos="540"/>
        </w:tabs>
        <w:spacing w:after="120" w:line="360" w:lineRule="auto"/>
        <w:ind w:firstLine="562"/>
      </w:pPr>
      <w:r>
        <w:t>Figure 3</w:t>
      </w:r>
      <w:r w:rsidR="008B411E">
        <w:t xml:space="preserve"> below presents average </w:t>
      </w:r>
      <w:r w:rsidR="00347167">
        <w:t xml:space="preserve">global </w:t>
      </w:r>
      <w:r w:rsidR="008B411E">
        <w:t>NRPs</w:t>
      </w:r>
      <w:r w:rsidR="00347167">
        <w:t xml:space="preserve"> weighted by production quantity as seen </w:t>
      </w:r>
      <w:r w:rsidR="007C439C">
        <w:t xml:space="preserve">in </w:t>
      </w:r>
      <w:r w:rsidR="00AF793F">
        <w:t xml:space="preserve">the </w:t>
      </w:r>
      <w:r w:rsidR="00347167">
        <w:t>above equations</w:t>
      </w:r>
      <w:r w:rsidR="00F32B9B">
        <w:t xml:space="preserve">. </w:t>
      </w:r>
      <w:r w:rsidR="00347167">
        <w:t xml:space="preserve">Figure 3 also includes </w:t>
      </w:r>
      <w:r w:rsidR="00B21940">
        <w:t xml:space="preserve">the </w:t>
      </w:r>
      <w:r w:rsidR="00347167">
        <w:t xml:space="preserve">FAO Food Price Index based on international prices weighted </w:t>
      </w:r>
      <w:r w:rsidR="00347167" w:rsidRPr="00347167">
        <w:t>with the average export shares for 2002-2004</w:t>
      </w:r>
      <w:r w:rsidR="00347167">
        <w:t xml:space="preserve">. </w:t>
      </w:r>
      <w:r w:rsidR="007A5882">
        <w:t xml:space="preserve">As seen below, there </w:t>
      </w:r>
      <w:r w:rsidR="00B21940">
        <w:t>appears to be a tendency for the</w:t>
      </w:r>
      <w:r w:rsidR="007A5882">
        <w:t xml:space="preserve"> global NRP for the agricultural sector</w:t>
      </w:r>
      <w:r w:rsidR="00B21940">
        <w:t xml:space="preserve"> to rise over time</w:t>
      </w:r>
      <w:r w:rsidR="007A5882">
        <w:t>, although values are positive</w:t>
      </w:r>
      <w:r w:rsidR="00347167">
        <w:t xml:space="preserve"> (except for 2008)</w:t>
      </w:r>
      <w:r w:rsidR="007A5882">
        <w:t>, showing that overall agricultural policies have protected farmers</w:t>
      </w:r>
      <w:r w:rsidR="00AF7E60">
        <w:t xml:space="preserve"> in the countries providing protection</w:t>
      </w:r>
      <w:r w:rsidR="00B21940">
        <w:t xml:space="preserve">, </w:t>
      </w:r>
      <w:proofErr w:type="gramStart"/>
      <w:r w:rsidR="00B21940">
        <w:t>as long as</w:t>
      </w:r>
      <w:proofErr w:type="gramEnd"/>
      <w:r w:rsidR="00B21940">
        <w:t xml:space="preserve"> the depressing impact of protection on world prices is not taken into account</w:t>
      </w:r>
      <w:r w:rsidR="007A5882">
        <w:t xml:space="preserve">. </w:t>
      </w:r>
      <w:r w:rsidR="00403D8B">
        <w:t xml:space="preserve">As expected, </w:t>
      </w:r>
      <w:r w:rsidR="00B47064">
        <w:t>we see</w:t>
      </w:r>
      <w:r w:rsidR="00347167">
        <w:t xml:space="preserve"> that </w:t>
      </w:r>
      <w:r w:rsidR="00B21940">
        <w:t>the average NRP</w:t>
      </w:r>
      <w:r w:rsidR="00403D8B">
        <w:t xml:space="preserve"> and </w:t>
      </w:r>
      <w:r w:rsidR="00B21940">
        <w:t xml:space="preserve">the </w:t>
      </w:r>
      <w:r w:rsidR="00403D8B">
        <w:t xml:space="preserve">average Food Price Index move in opposite directions. When global food prices are rising, governments are insulating consumers, by reducing or eliminating import duties or adding export </w:t>
      </w:r>
      <w:r w:rsidR="00DC75E6">
        <w:t>taxes that</w:t>
      </w:r>
      <w:r w:rsidR="00403D8B">
        <w:t xml:space="preserve"> in turn </w:t>
      </w:r>
      <w:r w:rsidR="00A51633">
        <w:t>reduce protection afforded to producers</w:t>
      </w:r>
      <w:r w:rsidR="00403D8B">
        <w:t>.</w:t>
      </w:r>
      <w:r w:rsidR="00A51633">
        <w:t xml:space="preserve"> The clearest example is in </w:t>
      </w:r>
      <w:r w:rsidR="00B21940">
        <w:t xml:space="preserve">the </w:t>
      </w:r>
      <w:r w:rsidR="00A51633">
        <w:t xml:space="preserve">2008 and 2011 food price crises, with </w:t>
      </w:r>
      <w:r w:rsidR="007C439C">
        <w:t xml:space="preserve">the </w:t>
      </w:r>
      <w:r w:rsidR="00A51633">
        <w:t xml:space="preserve">drop in global </w:t>
      </w:r>
      <w:r w:rsidR="007C439C">
        <w:t xml:space="preserve">average </w:t>
      </w:r>
      <w:r w:rsidR="00A51633">
        <w:t xml:space="preserve">NRP and </w:t>
      </w:r>
      <w:r w:rsidR="007C439C">
        <w:t xml:space="preserve">the </w:t>
      </w:r>
      <w:r w:rsidR="00A51633">
        <w:t xml:space="preserve">jump in </w:t>
      </w:r>
      <w:r w:rsidR="00AF7E60">
        <w:t xml:space="preserve">the global </w:t>
      </w:r>
      <w:r w:rsidR="00EE1B71">
        <w:t>F</w:t>
      </w:r>
      <w:r w:rsidR="00A51633">
        <w:t xml:space="preserve">ood </w:t>
      </w:r>
      <w:r w:rsidR="00EE1B71">
        <w:t>P</w:t>
      </w:r>
      <w:r w:rsidR="00A51633">
        <w:t>rice</w:t>
      </w:r>
      <w:r w:rsidR="007C439C">
        <w:t xml:space="preserve"> </w:t>
      </w:r>
      <w:r w:rsidR="00EE1B71">
        <w:t>I</w:t>
      </w:r>
      <w:r w:rsidR="007C439C">
        <w:t>ndex</w:t>
      </w:r>
      <w:r w:rsidR="00A51633">
        <w:t>.</w:t>
      </w:r>
      <w:r w:rsidR="00AF7E60">
        <w:t xml:space="preserve"> This effect reflects two factors—a tendency for policy makers to resist increases in world prices by lowering protection, and the tendency for such declines in protection to raise world prices by increasing demand for food</w:t>
      </w:r>
      <w:r w:rsidR="00B21940">
        <w:t xml:space="preserve"> and, in the case of export restrictions, by reducing the supply of food onto world markets</w:t>
      </w:r>
      <w:r w:rsidR="00AF7E60">
        <w:t>.</w:t>
      </w:r>
    </w:p>
    <w:p w14:paraId="73CF8D34" w14:textId="77777777" w:rsidR="008B411E" w:rsidRDefault="008B411E" w:rsidP="009829BB">
      <w:pPr>
        <w:tabs>
          <w:tab w:val="left" w:pos="540"/>
        </w:tabs>
        <w:spacing w:after="120"/>
        <w:ind w:firstLine="567"/>
      </w:pPr>
    </w:p>
    <w:p w14:paraId="7C68FD1F" w14:textId="4A785B52" w:rsidR="006732BD" w:rsidRDefault="00301073" w:rsidP="00185997">
      <w:pPr>
        <w:spacing w:after="120"/>
      </w:pPr>
      <w:r w:rsidRPr="00301073">
        <w:rPr>
          <w:noProof/>
        </w:rPr>
        <w:lastRenderedPageBreak/>
        <w:t xml:space="preserve"> </w:t>
      </w:r>
      <w:r w:rsidR="00B31447" w:rsidRPr="00B31447">
        <w:rPr>
          <w:noProof/>
        </w:rPr>
        <w:t xml:space="preserve"> </w:t>
      </w:r>
      <w:r w:rsidR="00B31447">
        <w:rPr>
          <w:noProof/>
        </w:rPr>
        <w:drawing>
          <wp:inline distT="0" distB="0" distL="0" distR="0" wp14:anchorId="4866EE85" wp14:editId="7E895470">
            <wp:extent cx="5860111" cy="3132455"/>
            <wp:effectExtent l="0" t="0" r="7620" b="10795"/>
            <wp:docPr id="1" name="Chart 1">
              <a:extLst xmlns:a="http://schemas.openxmlformats.org/drawingml/2006/main">
                <a:ext uri="{FF2B5EF4-FFF2-40B4-BE49-F238E27FC236}">
                  <a16:creationId xmlns:a16="http://schemas.microsoft.com/office/drawing/2014/main" id="{9F40FCE4-B320-9E17-6CC0-C984BB80987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14:paraId="62C38A91" w14:textId="4CF7F776" w:rsidR="006732BD" w:rsidRDefault="006732BD" w:rsidP="008A0471">
      <w:pPr>
        <w:spacing w:after="120"/>
        <w:rPr>
          <w:b/>
        </w:rPr>
      </w:pPr>
      <w:r>
        <w:rPr>
          <w:b/>
        </w:rPr>
        <w:t xml:space="preserve">Figure 3: </w:t>
      </w:r>
      <w:r w:rsidRPr="006732BD">
        <w:rPr>
          <w:i/>
        </w:rPr>
        <w:t>Average NRPs for agricultur</w:t>
      </w:r>
      <w:r w:rsidR="00681D22">
        <w:rPr>
          <w:i/>
        </w:rPr>
        <w:t>e</w:t>
      </w:r>
      <w:r w:rsidR="009C44E7">
        <w:rPr>
          <w:i/>
        </w:rPr>
        <w:t xml:space="preserve"> and </w:t>
      </w:r>
      <w:r w:rsidR="00681D22">
        <w:rPr>
          <w:i/>
        </w:rPr>
        <w:t xml:space="preserve">the </w:t>
      </w:r>
      <w:r w:rsidR="009C44E7">
        <w:rPr>
          <w:i/>
        </w:rPr>
        <w:t>FAO Food Price Index</w:t>
      </w:r>
      <w:r w:rsidRPr="006732BD">
        <w:rPr>
          <w:i/>
        </w:rPr>
        <w:t>.</w:t>
      </w:r>
      <w:r>
        <w:rPr>
          <w:b/>
        </w:rPr>
        <w:t xml:space="preserve"> </w:t>
      </w:r>
    </w:p>
    <w:p w14:paraId="5FDD51CB" w14:textId="586DA09E" w:rsidR="009E1FFC" w:rsidRPr="009E1FFC" w:rsidRDefault="009E1FFC" w:rsidP="008A0471">
      <w:pPr>
        <w:spacing w:after="120"/>
        <w:rPr>
          <w:bCs/>
        </w:rPr>
      </w:pPr>
      <w:r w:rsidRPr="009E1FFC">
        <w:rPr>
          <w:bCs/>
        </w:rPr>
        <w:t xml:space="preserve">Source: </w:t>
      </w:r>
      <w:proofErr w:type="spellStart"/>
      <w:r w:rsidRPr="009E1FFC">
        <w:rPr>
          <w:bCs/>
        </w:rPr>
        <w:t>Ag</w:t>
      </w:r>
      <w:r w:rsidR="004E29F3">
        <w:rPr>
          <w:bCs/>
        </w:rPr>
        <w:t>I</w:t>
      </w:r>
      <w:r w:rsidRPr="009E1FFC">
        <w:rPr>
          <w:bCs/>
        </w:rPr>
        <w:t>ncentives</w:t>
      </w:r>
      <w:proofErr w:type="spellEnd"/>
      <w:r w:rsidRPr="009E1FFC">
        <w:rPr>
          <w:bCs/>
        </w:rPr>
        <w:t xml:space="preserve"> database and FAO (</w:t>
      </w:r>
      <w:r w:rsidR="00705BA4">
        <w:rPr>
          <w:bCs/>
        </w:rPr>
        <w:t>2022</w:t>
      </w:r>
      <w:r w:rsidRPr="009E1FFC">
        <w:rPr>
          <w:bCs/>
        </w:rPr>
        <w:t>)</w:t>
      </w:r>
    </w:p>
    <w:p w14:paraId="02A7C3B5" w14:textId="77777777" w:rsidR="001A5F16" w:rsidRPr="009E1FFC" w:rsidRDefault="001A5F16" w:rsidP="001A5F16">
      <w:pPr>
        <w:spacing w:after="120"/>
        <w:rPr>
          <w:bCs/>
        </w:rPr>
      </w:pPr>
    </w:p>
    <w:p w14:paraId="790BA0DC" w14:textId="77777777" w:rsidR="00013F26" w:rsidRPr="001A5F16" w:rsidRDefault="001A5F16" w:rsidP="00B21940">
      <w:pPr>
        <w:tabs>
          <w:tab w:val="left" w:pos="540"/>
        </w:tabs>
        <w:spacing w:after="120" w:line="360" w:lineRule="auto"/>
        <w:ind w:firstLine="562"/>
      </w:pPr>
      <w:r w:rsidRPr="001A5F16">
        <w:t xml:space="preserve">In Figure </w:t>
      </w:r>
      <w:r>
        <w:t xml:space="preserve">4, we present </w:t>
      </w:r>
      <w:r w:rsidR="007C439C">
        <w:t xml:space="preserve">the </w:t>
      </w:r>
      <w:r>
        <w:t xml:space="preserve">average NRPs for the agricultural sector </w:t>
      </w:r>
      <w:r w:rsidR="007C439C">
        <w:t xml:space="preserve">categorized </w:t>
      </w:r>
      <w:r>
        <w:t xml:space="preserve">by income </w:t>
      </w:r>
      <w:r w:rsidR="007C439C">
        <w:t>levels of</w:t>
      </w:r>
      <w:r>
        <w:t xml:space="preserve"> countries. </w:t>
      </w:r>
      <w:r w:rsidR="007C439C">
        <w:t xml:space="preserve">For the </w:t>
      </w:r>
      <w:r w:rsidR="00B4090D">
        <w:t>period</w:t>
      </w:r>
      <w:r w:rsidR="007C439C">
        <w:t xml:space="preserve"> shown</w:t>
      </w:r>
      <w:r>
        <w:t>, high</w:t>
      </w:r>
      <w:r w:rsidR="00D00580">
        <w:t xml:space="preserve"> </w:t>
      </w:r>
      <w:r>
        <w:t xml:space="preserve">income countries </w:t>
      </w:r>
      <w:r w:rsidR="00B21940">
        <w:t xml:space="preserve">have </w:t>
      </w:r>
      <w:r w:rsidR="00013F26">
        <w:t xml:space="preserve">generally </w:t>
      </w:r>
      <w:r w:rsidR="00B21940">
        <w:t xml:space="preserve">provided </w:t>
      </w:r>
      <w:r>
        <w:t xml:space="preserve">higher protection for their farmers, although the average protection rate has declined in the last decade. </w:t>
      </w:r>
      <w:r w:rsidR="00013F26">
        <w:t>M</w:t>
      </w:r>
      <w:r w:rsidR="007C439C">
        <w:t>iddle income countries had lower NRPs on average than high</w:t>
      </w:r>
      <w:r w:rsidR="00D00580">
        <w:t xml:space="preserve"> </w:t>
      </w:r>
      <w:r w:rsidR="007C439C">
        <w:t xml:space="preserve">income countries. </w:t>
      </w:r>
      <w:proofErr w:type="gramStart"/>
      <w:r>
        <w:t>Low</w:t>
      </w:r>
      <w:r w:rsidR="00D00580">
        <w:t xml:space="preserve"> </w:t>
      </w:r>
      <w:r>
        <w:t>income</w:t>
      </w:r>
      <w:proofErr w:type="gramEnd"/>
      <w:r>
        <w:t xml:space="preserve"> countries ha</w:t>
      </w:r>
      <w:r w:rsidR="00B21940">
        <w:t>d</w:t>
      </w:r>
      <w:r>
        <w:t xml:space="preserve"> negative NRPs in the period shown in Figure 3, </w:t>
      </w:r>
      <w:r w:rsidR="00AF7E60">
        <w:t xml:space="preserve">partly because this was a period of relatively high prices and partly because </w:t>
      </w:r>
      <w:r w:rsidR="000550F2">
        <w:t>the</w:t>
      </w:r>
      <w:r w:rsidR="00AB566B">
        <w:t xml:space="preserve"> </w:t>
      </w:r>
      <w:r>
        <w:t xml:space="preserve">agricultural sector is seen as a source of government revenue </w:t>
      </w:r>
      <w:r w:rsidR="007C439C">
        <w:t xml:space="preserve">(mostly in Africa) </w:t>
      </w:r>
      <w:r>
        <w:t xml:space="preserve">and export commodities are </w:t>
      </w:r>
      <w:r w:rsidR="00B21940">
        <w:t xml:space="preserve">frequently </w:t>
      </w:r>
      <w:r>
        <w:t>taxed</w:t>
      </w:r>
      <w:r w:rsidR="00B21940">
        <w:t xml:space="preserve"> (Anderson 1995)</w:t>
      </w:r>
      <w:r>
        <w:t xml:space="preserve">. </w:t>
      </w:r>
      <w:r w:rsidR="00ED437D">
        <w:t>One thing to note is the difference in NRPs for countries during the 2008 food price crisis.</w:t>
      </w:r>
      <w:r w:rsidR="000C4F2C">
        <w:t xml:space="preserve"> </w:t>
      </w:r>
      <w:proofErr w:type="gramStart"/>
      <w:r w:rsidR="000C4F2C">
        <w:t xml:space="preserve">High and </w:t>
      </w:r>
      <w:r w:rsidR="00B4090D">
        <w:t>m</w:t>
      </w:r>
      <w:r w:rsidR="00ED437D">
        <w:t>iddle</w:t>
      </w:r>
      <w:r w:rsidR="003A2892">
        <w:t xml:space="preserve"> </w:t>
      </w:r>
      <w:r w:rsidR="000550F2">
        <w:t>i</w:t>
      </w:r>
      <w:r w:rsidR="00ED437D">
        <w:t>ncome</w:t>
      </w:r>
      <w:proofErr w:type="gramEnd"/>
      <w:r w:rsidR="00ED437D">
        <w:t xml:space="preserve"> countries </w:t>
      </w:r>
      <w:r w:rsidR="00B15514">
        <w:t>ha</w:t>
      </w:r>
      <w:r w:rsidR="00A8449A">
        <w:t>d</w:t>
      </w:r>
      <w:r w:rsidR="00B15514">
        <w:t xml:space="preserve"> slightly lower </w:t>
      </w:r>
      <w:r w:rsidR="000C4F2C">
        <w:t>NRP</w:t>
      </w:r>
      <w:r w:rsidR="00AD358C">
        <w:t>s</w:t>
      </w:r>
      <w:r w:rsidR="000C4F2C">
        <w:t xml:space="preserve"> in 2008 </w:t>
      </w:r>
      <w:r w:rsidR="00B15514">
        <w:t xml:space="preserve">and 2011 </w:t>
      </w:r>
      <w:r w:rsidR="000C4F2C">
        <w:t xml:space="preserve">food price crises, </w:t>
      </w:r>
      <w:r w:rsidR="00B15514">
        <w:t>whereas low income countries ha</w:t>
      </w:r>
      <w:r w:rsidR="00B21940">
        <w:t>d</w:t>
      </w:r>
      <w:r w:rsidR="00B15514">
        <w:t xml:space="preserve"> higher NRPs during these price crises. </w:t>
      </w:r>
    </w:p>
    <w:p w14:paraId="4E271B46" w14:textId="34121A08" w:rsidR="00653730" w:rsidRDefault="00837EE1" w:rsidP="001A5F16">
      <w:pPr>
        <w:spacing w:after="120"/>
        <w:rPr>
          <w:b/>
        </w:rPr>
      </w:pPr>
      <w:r w:rsidRPr="00837EE1">
        <w:rPr>
          <w:noProof/>
        </w:rPr>
        <w:lastRenderedPageBreak/>
        <w:t xml:space="preserve"> </w:t>
      </w:r>
      <w:r>
        <w:rPr>
          <w:noProof/>
        </w:rPr>
        <w:drawing>
          <wp:inline distT="0" distB="0" distL="0" distR="0" wp14:anchorId="4735AA5D" wp14:editId="2EA45078">
            <wp:extent cx="5597718" cy="3378835"/>
            <wp:effectExtent l="0" t="0" r="3175" b="12065"/>
            <wp:docPr id="2" name="Chart 2">
              <a:extLst xmlns:a="http://schemas.openxmlformats.org/drawingml/2006/main">
                <a:ext uri="{FF2B5EF4-FFF2-40B4-BE49-F238E27FC236}">
                  <a16:creationId xmlns:a16="http://schemas.microsoft.com/office/drawing/2014/main" id="{46AD3E90-F4A2-5986-E1A8-32EA7769747C}"/>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14:paraId="4D4E26DE" w14:textId="77777777" w:rsidR="001A5F16" w:rsidRDefault="001A5F16" w:rsidP="001A5F16">
      <w:pPr>
        <w:spacing w:after="120"/>
      </w:pPr>
      <w:r>
        <w:rPr>
          <w:b/>
        </w:rPr>
        <w:t xml:space="preserve">Figure 4: </w:t>
      </w:r>
      <w:r w:rsidRPr="006732BD">
        <w:rPr>
          <w:i/>
        </w:rPr>
        <w:t>Average</w:t>
      </w:r>
      <w:r>
        <w:rPr>
          <w:i/>
        </w:rPr>
        <w:t xml:space="preserve"> NRPs for agricultural sector by income category. </w:t>
      </w:r>
    </w:p>
    <w:p w14:paraId="4A35F5B4" w14:textId="403A1526" w:rsidR="00DA4547" w:rsidRDefault="006D0B88" w:rsidP="00131247">
      <w:pPr>
        <w:tabs>
          <w:tab w:val="left" w:pos="540"/>
        </w:tabs>
        <w:spacing w:after="120"/>
      </w:pPr>
      <w:r w:rsidRPr="009E1FFC">
        <w:rPr>
          <w:bCs/>
        </w:rPr>
        <w:t xml:space="preserve">Source: </w:t>
      </w:r>
      <w:proofErr w:type="spellStart"/>
      <w:r w:rsidRPr="009E1FFC">
        <w:rPr>
          <w:bCs/>
        </w:rPr>
        <w:t>Ag</w:t>
      </w:r>
      <w:r w:rsidR="004E29F3">
        <w:rPr>
          <w:bCs/>
        </w:rPr>
        <w:t>I</w:t>
      </w:r>
      <w:r w:rsidRPr="009E1FFC">
        <w:rPr>
          <w:bCs/>
        </w:rPr>
        <w:t>ncentives</w:t>
      </w:r>
      <w:proofErr w:type="spellEnd"/>
      <w:r w:rsidRPr="009E1FFC">
        <w:rPr>
          <w:bCs/>
        </w:rPr>
        <w:t xml:space="preserve"> database</w:t>
      </w:r>
    </w:p>
    <w:p w14:paraId="6AAE0FAA" w14:textId="77777777" w:rsidR="00131247" w:rsidRDefault="00131247" w:rsidP="00A8449A">
      <w:pPr>
        <w:tabs>
          <w:tab w:val="left" w:pos="540"/>
        </w:tabs>
        <w:spacing w:after="120" w:line="360" w:lineRule="auto"/>
        <w:ind w:firstLine="562"/>
      </w:pPr>
    </w:p>
    <w:p w14:paraId="131FD92E" w14:textId="5CCE1FFD" w:rsidR="00E44297" w:rsidRDefault="00DA4547" w:rsidP="00A8449A">
      <w:pPr>
        <w:tabs>
          <w:tab w:val="left" w:pos="540"/>
        </w:tabs>
        <w:spacing w:after="120" w:line="360" w:lineRule="auto"/>
        <w:ind w:firstLine="562"/>
      </w:pPr>
      <w:r>
        <w:t xml:space="preserve">In Table 2, we present global NRPs by commodity. </w:t>
      </w:r>
      <w:r w:rsidR="00885AAD">
        <w:t xml:space="preserve">We observe the variation to be even higher at individual commodity level, relative to </w:t>
      </w:r>
      <w:r w:rsidR="009A5611">
        <w:t xml:space="preserve">the </w:t>
      </w:r>
      <w:r w:rsidR="00885AAD">
        <w:t>agricultural sector</w:t>
      </w:r>
      <w:r w:rsidR="009A5611">
        <w:t xml:space="preserve"> NRP</w:t>
      </w:r>
      <w:r w:rsidR="00885AAD">
        <w:t xml:space="preserve">. </w:t>
      </w:r>
      <w:r w:rsidR="0022265A">
        <w:t>Producers in livestock and dairy sectors have much higher protection relative to crop sectors.</w:t>
      </w:r>
      <w:r w:rsidR="005D3B47">
        <w:t xml:space="preserve"> All grains including rice, maize, and wheat receive positive price support. </w:t>
      </w:r>
      <w:r w:rsidR="0022265A">
        <w:t xml:space="preserve"> </w:t>
      </w:r>
      <w:r w:rsidR="007E2DB4">
        <w:t xml:space="preserve">Cash crops, such as coffee and tea, have negative NRPs, </w:t>
      </w:r>
      <w:r w:rsidR="009A5611">
        <w:t>as these are export commodities with exports taxes keeping farm gate prices down. Another example of this is negative palm oil NRP, with demand for palm oil exports increasing.</w:t>
      </w:r>
    </w:p>
    <w:p w14:paraId="47DB6492" w14:textId="77777777" w:rsidR="00DA4547" w:rsidRDefault="00DA4547" w:rsidP="00DC75E6">
      <w:pPr>
        <w:tabs>
          <w:tab w:val="left" w:pos="540"/>
        </w:tabs>
        <w:spacing w:after="120"/>
        <w:ind w:firstLine="567"/>
      </w:pPr>
    </w:p>
    <w:p w14:paraId="46AE0AFB" w14:textId="10C2EA48" w:rsidR="008A0471" w:rsidRDefault="008A0471" w:rsidP="008A0471">
      <w:pPr>
        <w:spacing w:after="120"/>
      </w:pPr>
      <w:r w:rsidRPr="00040B4E">
        <w:rPr>
          <w:b/>
        </w:rPr>
        <w:t xml:space="preserve">Table </w:t>
      </w:r>
      <w:r w:rsidR="00045B74">
        <w:rPr>
          <w:b/>
        </w:rPr>
        <w:t>3</w:t>
      </w:r>
      <w:r>
        <w:t xml:space="preserve">: </w:t>
      </w:r>
      <w:r>
        <w:rPr>
          <w:i/>
        </w:rPr>
        <w:t xml:space="preserve">Global NRPs by Commodity </w:t>
      </w:r>
      <w:r w:rsidR="00653730" w:rsidRPr="00A8449A">
        <w:t>(</w:t>
      </w:r>
      <w:r w:rsidR="00653730">
        <w:rPr>
          <w:i/>
        </w:rPr>
        <w:t>%</w:t>
      </w:r>
      <w:r w:rsidR="00653730" w:rsidRPr="00A8449A">
        <w:t>)</w:t>
      </w:r>
    </w:p>
    <w:tbl>
      <w:tblPr>
        <w:tblW w:w="8280" w:type="dxa"/>
        <w:tblLook w:val="04A0" w:firstRow="1" w:lastRow="0" w:firstColumn="1" w:lastColumn="0" w:noHBand="0" w:noVBand="1"/>
      </w:tblPr>
      <w:tblGrid>
        <w:gridCol w:w="1960"/>
        <w:gridCol w:w="960"/>
        <w:gridCol w:w="1520"/>
        <w:gridCol w:w="1660"/>
        <w:gridCol w:w="1220"/>
        <w:gridCol w:w="960"/>
      </w:tblGrid>
      <w:tr w:rsidR="00F865D6" w:rsidRPr="00F865D6" w14:paraId="384C1A98" w14:textId="77777777" w:rsidTr="003F59E2">
        <w:trPr>
          <w:trHeight w:val="288"/>
          <w:tblHeader/>
        </w:trPr>
        <w:tc>
          <w:tcPr>
            <w:tcW w:w="1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EEF105F" w14:textId="77777777" w:rsidR="00F865D6" w:rsidRPr="00F865D6" w:rsidRDefault="00F865D6">
            <w:pPr>
              <w:rPr>
                <w:b/>
                <w:bCs/>
                <w:color w:val="000000"/>
                <w:sz w:val="22"/>
                <w:szCs w:val="22"/>
                <w:lang w:val="en-US"/>
              </w:rPr>
            </w:pPr>
            <w:r w:rsidRPr="00F865D6">
              <w:rPr>
                <w:b/>
                <w:bCs/>
                <w:color w:val="000000"/>
                <w:sz w:val="22"/>
                <w:szCs w:val="22"/>
              </w:rPr>
              <w:t>Commodity</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14:paraId="2453D485" w14:textId="77777777" w:rsidR="00F865D6" w:rsidRPr="00F865D6" w:rsidRDefault="00F865D6">
            <w:pPr>
              <w:jc w:val="right"/>
              <w:rPr>
                <w:b/>
                <w:bCs/>
                <w:color w:val="000000"/>
                <w:sz w:val="22"/>
                <w:szCs w:val="22"/>
              </w:rPr>
            </w:pPr>
            <w:r w:rsidRPr="00F865D6">
              <w:rPr>
                <w:b/>
                <w:bCs/>
                <w:color w:val="000000"/>
                <w:sz w:val="22"/>
                <w:szCs w:val="22"/>
              </w:rPr>
              <w:t>2017</w:t>
            </w:r>
          </w:p>
        </w:tc>
        <w:tc>
          <w:tcPr>
            <w:tcW w:w="1520" w:type="dxa"/>
            <w:tcBorders>
              <w:top w:val="single" w:sz="4" w:space="0" w:color="auto"/>
              <w:left w:val="nil"/>
              <w:bottom w:val="single" w:sz="4" w:space="0" w:color="auto"/>
              <w:right w:val="single" w:sz="4" w:space="0" w:color="auto"/>
            </w:tcBorders>
            <w:shd w:val="clear" w:color="auto" w:fill="auto"/>
            <w:noWrap/>
            <w:vAlign w:val="bottom"/>
            <w:hideMark/>
          </w:tcPr>
          <w:p w14:paraId="3F0CBB26" w14:textId="77777777" w:rsidR="00F865D6" w:rsidRPr="00F865D6" w:rsidRDefault="00F865D6">
            <w:pPr>
              <w:jc w:val="right"/>
              <w:rPr>
                <w:b/>
                <w:bCs/>
                <w:color w:val="000000"/>
                <w:sz w:val="22"/>
                <w:szCs w:val="22"/>
              </w:rPr>
            </w:pPr>
            <w:r w:rsidRPr="00F865D6">
              <w:rPr>
                <w:b/>
                <w:bCs/>
                <w:color w:val="000000"/>
                <w:sz w:val="22"/>
                <w:szCs w:val="22"/>
              </w:rPr>
              <w:t>2018</w:t>
            </w:r>
          </w:p>
        </w:tc>
        <w:tc>
          <w:tcPr>
            <w:tcW w:w="1660" w:type="dxa"/>
            <w:tcBorders>
              <w:top w:val="single" w:sz="4" w:space="0" w:color="auto"/>
              <w:left w:val="nil"/>
              <w:bottom w:val="single" w:sz="4" w:space="0" w:color="auto"/>
              <w:right w:val="single" w:sz="4" w:space="0" w:color="auto"/>
            </w:tcBorders>
            <w:shd w:val="clear" w:color="auto" w:fill="auto"/>
            <w:noWrap/>
            <w:vAlign w:val="bottom"/>
            <w:hideMark/>
          </w:tcPr>
          <w:p w14:paraId="6674698F" w14:textId="77777777" w:rsidR="00F865D6" w:rsidRPr="00F865D6" w:rsidRDefault="00F865D6">
            <w:pPr>
              <w:jc w:val="right"/>
              <w:rPr>
                <w:b/>
                <w:bCs/>
                <w:color w:val="000000"/>
                <w:sz w:val="22"/>
                <w:szCs w:val="22"/>
              </w:rPr>
            </w:pPr>
            <w:r w:rsidRPr="00F865D6">
              <w:rPr>
                <w:b/>
                <w:bCs/>
                <w:color w:val="000000"/>
                <w:sz w:val="22"/>
                <w:szCs w:val="22"/>
              </w:rPr>
              <w:t>2019</w:t>
            </w:r>
          </w:p>
        </w:tc>
        <w:tc>
          <w:tcPr>
            <w:tcW w:w="1220" w:type="dxa"/>
            <w:tcBorders>
              <w:top w:val="single" w:sz="4" w:space="0" w:color="auto"/>
              <w:left w:val="nil"/>
              <w:bottom w:val="single" w:sz="4" w:space="0" w:color="auto"/>
              <w:right w:val="single" w:sz="4" w:space="0" w:color="auto"/>
            </w:tcBorders>
            <w:shd w:val="clear" w:color="auto" w:fill="auto"/>
            <w:noWrap/>
            <w:vAlign w:val="bottom"/>
            <w:hideMark/>
          </w:tcPr>
          <w:p w14:paraId="1B027B1A" w14:textId="77777777" w:rsidR="00F865D6" w:rsidRPr="00F865D6" w:rsidRDefault="00F865D6">
            <w:pPr>
              <w:jc w:val="right"/>
              <w:rPr>
                <w:b/>
                <w:bCs/>
                <w:color w:val="000000"/>
                <w:sz w:val="22"/>
                <w:szCs w:val="22"/>
              </w:rPr>
            </w:pPr>
            <w:r w:rsidRPr="00F865D6">
              <w:rPr>
                <w:b/>
                <w:bCs/>
                <w:color w:val="000000"/>
                <w:sz w:val="22"/>
                <w:szCs w:val="22"/>
              </w:rPr>
              <w:t>2020</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14:paraId="49395A5A" w14:textId="77777777" w:rsidR="00F865D6" w:rsidRPr="00F865D6" w:rsidRDefault="00F865D6">
            <w:pPr>
              <w:jc w:val="right"/>
              <w:rPr>
                <w:b/>
                <w:bCs/>
                <w:color w:val="000000"/>
                <w:sz w:val="22"/>
                <w:szCs w:val="22"/>
              </w:rPr>
            </w:pPr>
            <w:r w:rsidRPr="00F865D6">
              <w:rPr>
                <w:b/>
                <w:bCs/>
                <w:color w:val="000000"/>
                <w:sz w:val="22"/>
                <w:szCs w:val="22"/>
              </w:rPr>
              <w:t>2021</w:t>
            </w:r>
          </w:p>
        </w:tc>
      </w:tr>
      <w:tr w:rsidR="00F865D6" w:rsidRPr="00F865D6" w14:paraId="4E10F21D" w14:textId="77777777" w:rsidTr="003F59E2">
        <w:trPr>
          <w:trHeight w:val="288"/>
        </w:trPr>
        <w:tc>
          <w:tcPr>
            <w:tcW w:w="1960" w:type="dxa"/>
            <w:tcBorders>
              <w:top w:val="nil"/>
              <w:left w:val="single" w:sz="4" w:space="0" w:color="auto"/>
              <w:bottom w:val="single" w:sz="4" w:space="0" w:color="auto"/>
              <w:right w:val="single" w:sz="4" w:space="0" w:color="auto"/>
            </w:tcBorders>
            <w:shd w:val="clear" w:color="auto" w:fill="auto"/>
            <w:noWrap/>
            <w:vAlign w:val="bottom"/>
            <w:hideMark/>
          </w:tcPr>
          <w:p w14:paraId="5AA50246" w14:textId="77777777" w:rsidR="00F865D6" w:rsidRPr="00F865D6" w:rsidRDefault="00F865D6">
            <w:pPr>
              <w:rPr>
                <w:color w:val="000000"/>
                <w:sz w:val="22"/>
                <w:szCs w:val="22"/>
              </w:rPr>
            </w:pPr>
            <w:r w:rsidRPr="00F865D6">
              <w:rPr>
                <w:color w:val="000000"/>
                <w:sz w:val="22"/>
                <w:szCs w:val="22"/>
              </w:rPr>
              <w:t>Bovine Meat</w:t>
            </w:r>
          </w:p>
        </w:tc>
        <w:tc>
          <w:tcPr>
            <w:tcW w:w="960" w:type="dxa"/>
            <w:tcBorders>
              <w:top w:val="nil"/>
              <w:left w:val="nil"/>
              <w:bottom w:val="single" w:sz="4" w:space="0" w:color="auto"/>
              <w:right w:val="single" w:sz="4" w:space="0" w:color="auto"/>
            </w:tcBorders>
            <w:shd w:val="clear" w:color="auto" w:fill="auto"/>
            <w:noWrap/>
            <w:vAlign w:val="bottom"/>
            <w:hideMark/>
          </w:tcPr>
          <w:p w14:paraId="07551518" w14:textId="77777777" w:rsidR="00F865D6" w:rsidRPr="00F865D6" w:rsidRDefault="00F865D6">
            <w:pPr>
              <w:jc w:val="right"/>
              <w:rPr>
                <w:color w:val="000000"/>
                <w:sz w:val="22"/>
                <w:szCs w:val="22"/>
              </w:rPr>
            </w:pPr>
            <w:r w:rsidRPr="00F865D6">
              <w:rPr>
                <w:color w:val="000000"/>
                <w:sz w:val="22"/>
                <w:szCs w:val="22"/>
              </w:rPr>
              <w:t>10.2</w:t>
            </w:r>
          </w:p>
        </w:tc>
        <w:tc>
          <w:tcPr>
            <w:tcW w:w="1520" w:type="dxa"/>
            <w:tcBorders>
              <w:top w:val="nil"/>
              <w:left w:val="nil"/>
              <w:bottom w:val="single" w:sz="4" w:space="0" w:color="auto"/>
              <w:right w:val="single" w:sz="4" w:space="0" w:color="auto"/>
            </w:tcBorders>
            <w:shd w:val="clear" w:color="auto" w:fill="auto"/>
            <w:noWrap/>
            <w:vAlign w:val="bottom"/>
            <w:hideMark/>
          </w:tcPr>
          <w:p w14:paraId="6616EF24" w14:textId="77777777" w:rsidR="00F865D6" w:rsidRPr="00F865D6" w:rsidRDefault="00F865D6">
            <w:pPr>
              <w:jc w:val="right"/>
              <w:rPr>
                <w:color w:val="000000"/>
                <w:sz w:val="22"/>
                <w:szCs w:val="22"/>
              </w:rPr>
            </w:pPr>
            <w:r w:rsidRPr="00F865D6">
              <w:rPr>
                <w:color w:val="000000"/>
                <w:sz w:val="22"/>
                <w:szCs w:val="22"/>
              </w:rPr>
              <w:t>10.7</w:t>
            </w:r>
          </w:p>
        </w:tc>
        <w:tc>
          <w:tcPr>
            <w:tcW w:w="1660" w:type="dxa"/>
            <w:tcBorders>
              <w:top w:val="nil"/>
              <w:left w:val="nil"/>
              <w:bottom w:val="single" w:sz="4" w:space="0" w:color="auto"/>
              <w:right w:val="single" w:sz="4" w:space="0" w:color="auto"/>
            </w:tcBorders>
            <w:shd w:val="clear" w:color="auto" w:fill="auto"/>
            <w:noWrap/>
            <w:vAlign w:val="bottom"/>
            <w:hideMark/>
          </w:tcPr>
          <w:p w14:paraId="18E1257A" w14:textId="77777777" w:rsidR="00F865D6" w:rsidRPr="00F865D6" w:rsidRDefault="00F865D6">
            <w:pPr>
              <w:jc w:val="right"/>
              <w:rPr>
                <w:color w:val="000000"/>
                <w:sz w:val="22"/>
                <w:szCs w:val="22"/>
              </w:rPr>
            </w:pPr>
            <w:r w:rsidRPr="00F865D6">
              <w:rPr>
                <w:color w:val="000000"/>
                <w:sz w:val="22"/>
                <w:szCs w:val="22"/>
              </w:rPr>
              <w:t>9.7</w:t>
            </w:r>
          </w:p>
        </w:tc>
        <w:tc>
          <w:tcPr>
            <w:tcW w:w="1220" w:type="dxa"/>
            <w:tcBorders>
              <w:top w:val="nil"/>
              <w:left w:val="nil"/>
              <w:bottom w:val="single" w:sz="4" w:space="0" w:color="auto"/>
              <w:right w:val="single" w:sz="4" w:space="0" w:color="auto"/>
            </w:tcBorders>
            <w:shd w:val="clear" w:color="auto" w:fill="auto"/>
            <w:noWrap/>
            <w:vAlign w:val="bottom"/>
            <w:hideMark/>
          </w:tcPr>
          <w:p w14:paraId="1067744B" w14:textId="77777777" w:rsidR="00F865D6" w:rsidRPr="00F865D6" w:rsidRDefault="00F865D6">
            <w:pPr>
              <w:jc w:val="right"/>
              <w:rPr>
                <w:color w:val="000000"/>
                <w:sz w:val="22"/>
                <w:szCs w:val="22"/>
              </w:rPr>
            </w:pPr>
            <w:r w:rsidRPr="00F865D6">
              <w:rPr>
                <w:color w:val="000000"/>
                <w:sz w:val="22"/>
                <w:szCs w:val="22"/>
              </w:rPr>
              <w:t>8.9</w:t>
            </w:r>
          </w:p>
        </w:tc>
        <w:tc>
          <w:tcPr>
            <w:tcW w:w="960" w:type="dxa"/>
            <w:tcBorders>
              <w:top w:val="nil"/>
              <w:left w:val="nil"/>
              <w:bottom w:val="single" w:sz="4" w:space="0" w:color="auto"/>
              <w:right w:val="single" w:sz="4" w:space="0" w:color="auto"/>
            </w:tcBorders>
            <w:shd w:val="clear" w:color="auto" w:fill="auto"/>
            <w:noWrap/>
            <w:vAlign w:val="bottom"/>
            <w:hideMark/>
          </w:tcPr>
          <w:p w14:paraId="6BE512D9" w14:textId="77777777" w:rsidR="00F865D6" w:rsidRPr="00F865D6" w:rsidRDefault="00F865D6">
            <w:pPr>
              <w:jc w:val="right"/>
              <w:rPr>
                <w:color w:val="000000"/>
                <w:sz w:val="22"/>
                <w:szCs w:val="22"/>
              </w:rPr>
            </w:pPr>
            <w:r w:rsidRPr="00F865D6">
              <w:rPr>
                <w:color w:val="000000"/>
                <w:sz w:val="22"/>
                <w:szCs w:val="22"/>
              </w:rPr>
              <w:t>7.5</w:t>
            </w:r>
          </w:p>
        </w:tc>
      </w:tr>
      <w:tr w:rsidR="00F865D6" w:rsidRPr="00F865D6" w14:paraId="247BE7A2" w14:textId="77777777" w:rsidTr="003F59E2">
        <w:trPr>
          <w:trHeight w:val="288"/>
        </w:trPr>
        <w:tc>
          <w:tcPr>
            <w:tcW w:w="1960" w:type="dxa"/>
            <w:tcBorders>
              <w:top w:val="nil"/>
              <w:left w:val="single" w:sz="4" w:space="0" w:color="auto"/>
              <w:bottom w:val="single" w:sz="4" w:space="0" w:color="auto"/>
              <w:right w:val="single" w:sz="4" w:space="0" w:color="auto"/>
            </w:tcBorders>
            <w:shd w:val="clear" w:color="auto" w:fill="auto"/>
            <w:noWrap/>
            <w:vAlign w:val="bottom"/>
            <w:hideMark/>
          </w:tcPr>
          <w:p w14:paraId="7B250FEF" w14:textId="77777777" w:rsidR="00F865D6" w:rsidRPr="00F865D6" w:rsidRDefault="00F865D6">
            <w:pPr>
              <w:rPr>
                <w:color w:val="000000"/>
                <w:sz w:val="22"/>
                <w:szCs w:val="22"/>
              </w:rPr>
            </w:pPr>
            <w:r w:rsidRPr="00F865D6">
              <w:rPr>
                <w:color w:val="000000"/>
                <w:sz w:val="22"/>
                <w:szCs w:val="22"/>
              </w:rPr>
              <w:t>Cassava</w:t>
            </w:r>
          </w:p>
        </w:tc>
        <w:tc>
          <w:tcPr>
            <w:tcW w:w="960" w:type="dxa"/>
            <w:tcBorders>
              <w:top w:val="nil"/>
              <w:left w:val="nil"/>
              <w:bottom w:val="single" w:sz="4" w:space="0" w:color="auto"/>
              <w:right w:val="single" w:sz="4" w:space="0" w:color="auto"/>
            </w:tcBorders>
            <w:shd w:val="clear" w:color="auto" w:fill="auto"/>
            <w:noWrap/>
            <w:vAlign w:val="bottom"/>
            <w:hideMark/>
          </w:tcPr>
          <w:p w14:paraId="57E13604" w14:textId="77777777" w:rsidR="00F865D6" w:rsidRPr="00F865D6" w:rsidRDefault="00F865D6">
            <w:pPr>
              <w:jc w:val="right"/>
              <w:rPr>
                <w:color w:val="000000"/>
                <w:sz w:val="22"/>
                <w:szCs w:val="22"/>
              </w:rPr>
            </w:pPr>
            <w:r w:rsidRPr="00F865D6">
              <w:rPr>
                <w:color w:val="000000"/>
                <w:sz w:val="22"/>
                <w:szCs w:val="22"/>
              </w:rPr>
              <w:t>-6.3</w:t>
            </w:r>
          </w:p>
        </w:tc>
        <w:tc>
          <w:tcPr>
            <w:tcW w:w="1520" w:type="dxa"/>
            <w:tcBorders>
              <w:top w:val="nil"/>
              <w:left w:val="nil"/>
              <w:bottom w:val="single" w:sz="4" w:space="0" w:color="auto"/>
              <w:right w:val="single" w:sz="4" w:space="0" w:color="auto"/>
            </w:tcBorders>
            <w:shd w:val="clear" w:color="auto" w:fill="auto"/>
            <w:noWrap/>
            <w:vAlign w:val="bottom"/>
            <w:hideMark/>
          </w:tcPr>
          <w:p w14:paraId="75E20A65" w14:textId="77777777" w:rsidR="00F865D6" w:rsidRPr="00F865D6" w:rsidRDefault="00F865D6">
            <w:pPr>
              <w:jc w:val="right"/>
              <w:rPr>
                <w:color w:val="000000"/>
                <w:sz w:val="22"/>
                <w:szCs w:val="22"/>
              </w:rPr>
            </w:pPr>
            <w:r w:rsidRPr="00F865D6">
              <w:rPr>
                <w:color w:val="000000"/>
                <w:sz w:val="22"/>
                <w:szCs w:val="22"/>
              </w:rPr>
              <w:t>-9.1</w:t>
            </w:r>
          </w:p>
        </w:tc>
        <w:tc>
          <w:tcPr>
            <w:tcW w:w="1660" w:type="dxa"/>
            <w:tcBorders>
              <w:top w:val="nil"/>
              <w:left w:val="nil"/>
              <w:bottom w:val="single" w:sz="4" w:space="0" w:color="auto"/>
              <w:right w:val="single" w:sz="4" w:space="0" w:color="auto"/>
            </w:tcBorders>
            <w:shd w:val="clear" w:color="auto" w:fill="auto"/>
            <w:noWrap/>
            <w:vAlign w:val="bottom"/>
            <w:hideMark/>
          </w:tcPr>
          <w:p w14:paraId="7BB5C7D0" w14:textId="77777777" w:rsidR="00F865D6" w:rsidRPr="00F865D6" w:rsidRDefault="00F865D6">
            <w:pPr>
              <w:jc w:val="right"/>
              <w:rPr>
                <w:color w:val="000000"/>
                <w:sz w:val="22"/>
                <w:szCs w:val="22"/>
              </w:rPr>
            </w:pPr>
            <w:r w:rsidRPr="00F865D6">
              <w:rPr>
                <w:color w:val="000000"/>
                <w:sz w:val="22"/>
                <w:szCs w:val="22"/>
              </w:rPr>
              <w:t>-7.7</w:t>
            </w:r>
          </w:p>
        </w:tc>
        <w:tc>
          <w:tcPr>
            <w:tcW w:w="1220" w:type="dxa"/>
            <w:tcBorders>
              <w:top w:val="nil"/>
              <w:left w:val="nil"/>
              <w:bottom w:val="single" w:sz="4" w:space="0" w:color="auto"/>
              <w:right w:val="single" w:sz="4" w:space="0" w:color="auto"/>
            </w:tcBorders>
            <w:shd w:val="clear" w:color="auto" w:fill="auto"/>
            <w:noWrap/>
            <w:vAlign w:val="bottom"/>
            <w:hideMark/>
          </w:tcPr>
          <w:p w14:paraId="07BF71F9" w14:textId="77777777" w:rsidR="00F865D6" w:rsidRPr="00F865D6" w:rsidRDefault="00F865D6">
            <w:pPr>
              <w:jc w:val="right"/>
              <w:rPr>
                <w:color w:val="000000"/>
                <w:sz w:val="22"/>
                <w:szCs w:val="22"/>
              </w:rPr>
            </w:pPr>
            <w:r w:rsidRPr="00F865D6">
              <w:rPr>
                <w:color w:val="000000"/>
                <w:sz w:val="22"/>
                <w:szCs w:val="22"/>
              </w:rPr>
              <w:t>-33.0</w:t>
            </w:r>
          </w:p>
        </w:tc>
        <w:tc>
          <w:tcPr>
            <w:tcW w:w="960" w:type="dxa"/>
            <w:tcBorders>
              <w:top w:val="nil"/>
              <w:left w:val="nil"/>
              <w:bottom w:val="single" w:sz="4" w:space="0" w:color="auto"/>
              <w:right w:val="single" w:sz="4" w:space="0" w:color="auto"/>
            </w:tcBorders>
            <w:shd w:val="clear" w:color="auto" w:fill="auto"/>
            <w:noWrap/>
            <w:vAlign w:val="bottom"/>
            <w:hideMark/>
          </w:tcPr>
          <w:p w14:paraId="5684173A" w14:textId="77777777" w:rsidR="00F865D6" w:rsidRPr="00F865D6" w:rsidRDefault="00F865D6">
            <w:pPr>
              <w:jc w:val="right"/>
              <w:rPr>
                <w:color w:val="000000"/>
                <w:sz w:val="22"/>
                <w:szCs w:val="22"/>
              </w:rPr>
            </w:pPr>
            <w:r w:rsidRPr="00F865D6">
              <w:rPr>
                <w:color w:val="000000"/>
                <w:sz w:val="22"/>
                <w:szCs w:val="22"/>
              </w:rPr>
              <w:t>0.0</w:t>
            </w:r>
          </w:p>
        </w:tc>
      </w:tr>
      <w:tr w:rsidR="00F865D6" w:rsidRPr="00F865D6" w14:paraId="1B41C9F5" w14:textId="77777777" w:rsidTr="003F59E2">
        <w:trPr>
          <w:trHeight w:val="288"/>
        </w:trPr>
        <w:tc>
          <w:tcPr>
            <w:tcW w:w="1960" w:type="dxa"/>
            <w:tcBorders>
              <w:top w:val="nil"/>
              <w:left w:val="single" w:sz="4" w:space="0" w:color="auto"/>
              <w:bottom w:val="single" w:sz="4" w:space="0" w:color="auto"/>
              <w:right w:val="single" w:sz="4" w:space="0" w:color="auto"/>
            </w:tcBorders>
            <w:shd w:val="clear" w:color="auto" w:fill="auto"/>
            <w:noWrap/>
            <w:vAlign w:val="bottom"/>
            <w:hideMark/>
          </w:tcPr>
          <w:p w14:paraId="40720A58" w14:textId="77777777" w:rsidR="00F865D6" w:rsidRPr="00F865D6" w:rsidRDefault="00F865D6">
            <w:pPr>
              <w:rPr>
                <w:color w:val="000000"/>
                <w:sz w:val="22"/>
                <w:szCs w:val="22"/>
              </w:rPr>
            </w:pPr>
            <w:r w:rsidRPr="00F865D6">
              <w:rPr>
                <w:color w:val="000000"/>
                <w:sz w:val="22"/>
                <w:szCs w:val="22"/>
              </w:rPr>
              <w:t>Coffee</w:t>
            </w:r>
          </w:p>
        </w:tc>
        <w:tc>
          <w:tcPr>
            <w:tcW w:w="960" w:type="dxa"/>
            <w:tcBorders>
              <w:top w:val="nil"/>
              <w:left w:val="nil"/>
              <w:bottom w:val="single" w:sz="4" w:space="0" w:color="auto"/>
              <w:right w:val="single" w:sz="4" w:space="0" w:color="auto"/>
            </w:tcBorders>
            <w:shd w:val="clear" w:color="auto" w:fill="auto"/>
            <w:noWrap/>
            <w:vAlign w:val="bottom"/>
            <w:hideMark/>
          </w:tcPr>
          <w:p w14:paraId="7203994C" w14:textId="77777777" w:rsidR="00F865D6" w:rsidRPr="00F865D6" w:rsidRDefault="00F865D6">
            <w:pPr>
              <w:jc w:val="right"/>
              <w:rPr>
                <w:color w:val="000000"/>
                <w:sz w:val="22"/>
                <w:szCs w:val="22"/>
              </w:rPr>
            </w:pPr>
            <w:r w:rsidRPr="00F865D6">
              <w:rPr>
                <w:color w:val="000000"/>
                <w:sz w:val="22"/>
                <w:szCs w:val="22"/>
              </w:rPr>
              <w:t>-3.8</w:t>
            </w:r>
          </w:p>
        </w:tc>
        <w:tc>
          <w:tcPr>
            <w:tcW w:w="1520" w:type="dxa"/>
            <w:tcBorders>
              <w:top w:val="nil"/>
              <w:left w:val="nil"/>
              <w:bottom w:val="single" w:sz="4" w:space="0" w:color="auto"/>
              <w:right w:val="single" w:sz="4" w:space="0" w:color="auto"/>
            </w:tcBorders>
            <w:shd w:val="clear" w:color="auto" w:fill="auto"/>
            <w:noWrap/>
            <w:vAlign w:val="bottom"/>
            <w:hideMark/>
          </w:tcPr>
          <w:p w14:paraId="0F1CF5D1" w14:textId="77777777" w:rsidR="00F865D6" w:rsidRPr="00F865D6" w:rsidRDefault="00F865D6">
            <w:pPr>
              <w:jc w:val="right"/>
              <w:rPr>
                <w:color w:val="000000"/>
                <w:sz w:val="22"/>
                <w:szCs w:val="22"/>
              </w:rPr>
            </w:pPr>
            <w:r w:rsidRPr="00F865D6">
              <w:rPr>
                <w:color w:val="000000"/>
                <w:sz w:val="22"/>
                <w:szCs w:val="22"/>
              </w:rPr>
              <w:t>-5.6</w:t>
            </w:r>
          </w:p>
        </w:tc>
        <w:tc>
          <w:tcPr>
            <w:tcW w:w="1660" w:type="dxa"/>
            <w:tcBorders>
              <w:top w:val="nil"/>
              <w:left w:val="nil"/>
              <w:bottom w:val="single" w:sz="4" w:space="0" w:color="auto"/>
              <w:right w:val="single" w:sz="4" w:space="0" w:color="auto"/>
            </w:tcBorders>
            <w:shd w:val="clear" w:color="auto" w:fill="auto"/>
            <w:noWrap/>
            <w:vAlign w:val="bottom"/>
            <w:hideMark/>
          </w:tcPr>
          <w:p w14:paraId="650F1A7B" w14:textId="77777777" w:rsidR="00F865D6" w:rsidRPr="00F865D6" w:rsidRDefault="00F865D6">
            <w:pPr>
              <w:jc w:val="right"/>
              <w:rPr>
                <w:color w:val="000000"/>
                <w:sz w:val="22"/>
                <w:szCs w:val="22"/>
              </w:rPr>
            </w:pPr>
            <w:r w:rsidRPr="00F865D6">
              <w:rPr>
                <w:color w:val="000000"/>
                <w:sz w:val="22"/>
                <w:szCs w:val="22"/>
              </w:rPr>
              <w:t>-4.0</w:t>
            </w:r>
          </w:p>
        </w:tc>
        <w:tc>
          <w:tcPr>
            <w:tcW w:w="1220" w:type="dxa"/>
            <w:tcBorders>
              <w:top w:val="nil"/>
              <w:left w:val="nil"/>
              <w:bottom w:val="single" w:sz="4" w:space="0" w:color="auto"/>
              <w:right w:val="single" w:sz="4" w:space="0" w:color="auto"/>
            </w:tcBorders>
            <w:shd w:val="clear" w:color="auto" w:fill="auto"/>
            <w:noWrap/>
            <w:vAlign w:val="bottom"/>
            <w:hideMark/>
          </w:tcPr>
          <w:p w14:paraId="0F77CC6F" w14:textId="77777777" w:rsidR="00F865D6" w:rsidRPr="00F865D6" w:rsidRDefault="00F865D6">
            <w:pPr>
              <w:jc w:val="right"/>
              <w:rPr>
                <w:color w:val="000000"/>
                <w:sz w:val="22"/>
                <w:szCs w:val="22"/>
              </w:rPr>
            </w:pPr>
            <w:r w:rsidRPr="00F865D6">
              <w:rPr>
                <w:color w:val="000000"/>
                <w:sz w:val="22"/>
                <w:szCs w:val="22"/>
              </w:rPr>
              <w:t>-4.1</w:t>
            </w:r>
          </w:p>
        </w:tc>
        <w:tc>
          <w:tcPr>
            <w:tcW w:w="960" w:type="dxa"/>
            <w:tcBorders>
              <w:top w:val="nil"/>
              <w:left w:val="nil"/>
              <w:bottom w:val="single" w:sz="4" w:space="0" w:color="auto"/>
              <w:right w:val="single" w:sz="4" w:space="0" w:color="auto"/>
            </w:tcBorders>
            <w:shd w:val="clear" w:color="auto" w:fill="auto"/>
            <w:noWrap/>
            <w:vAlign w:val="bottom"/>
            <w:hideMark/>
          </w:tcPr>
          <w:p w14:paraId="01EA7972" w14:textId="77777777" w:rsidR="00F865D6" w:rsidRPr="00F865D6" w:rsidRDefault="00F865D6">
            <w:pPr>
              <w:jc w:val="right"/>
              <w:rPr>
                <w:color w:val="000000"/>
                <w:sz w:val="22"/>
                <w:szCs w:val="22"/>
              </w:rPr>
            </w:pPr>
            <w:r w:rsidRPr="00F865D6">
              <w:rPr>
                <w:color w:val="000000"/>
                <w:sz w:val="22"/>
                <w:szCs w:val="22"/>
              </w:rPr>
              <w:t>-3.7</w:t>
            </w:r>
          </w:p>
        </w:tc>
      </w:tr>
      <w:tr w:rsidR="00F865D6" w:rsidRPr="00F865D6" w14:paraId="5D6C1A01" w14:textId="77777777" w:rsidTr="003F59E2">
        <w:trPr>
          <w:trHeight w:val="288"/>
        </w:trPr>
        <w:tc>
          <w:tcPr>
            <w:tcW w:w="1960" w:type="dxa"/>
            <w:tcBorders>
              <w:top w:val="nil"/>
              <w:left w:val="single" w:sz="4" w:space="0" w:color="auto"/>
              <w:bottom w:val="single" w:sz="4" w:space="0" w:color="auto"/>
              <w:right w:val="single" w:sz="4" w:space="0" w:color="auto"/>
            </w:tcBorders>
            <w:shd w:val="clear" w:color="auto" w:fill="auto"/>
            <w:noWrap/>
            <w:vAlign w:val="bottom"/>
            <w:hideMark/>
          </w:tcPr>
          <w:p w14:paraId="45ED70AE" w14:textId="77777777" w:rsidR="00F865D6" w:rsidRPr="00F865D6" w:rsidRDefault="00F865D6">
            <w:pPr>
              <w:rPr>
                <w:color w:val="000000"/>
                <w:sz w:val="22"/>
                <w:szCs w:val="22"/>
              </w:rPr>
            </w:pPr>
            <w:r w:rsidRPr="00F865D6">
              <w:rPr>
                <w:color w:val="000000"/>
                <w:sz w:val="22"/>
                <w:szCs w:val="22"/>
              </w:rPr>
              <w:t>Eggs</w:t>
            </w:r>
          </w:p>
        </w:tc>
        <w:tc>
          <w:tcPr>
            <w:tcW w:w="960" w:type="dxa"/>
            <w:tcBorders>
              <w:top w:val="nil"/>
              <w:left w:val="nil"/>
              <w:bottom w:val="single" w:sz="4" w:space="0" w:color="auto"/>
              <w:right w:val="single" w:sz="4" w:space="0" w:color="auto"/>
            </w:tcBorders>
            <w:shd w:val="clear" w:color="auto" w:fill="auto"/>
            <w:noWrap/>
            <w:vAlign w:val="bottom"/>
            <w:hideMark/>
          </w:tcPr>
          <w:p w14:paraId="4108A84A" w14:textId="77777777" w:rsidR="00F865D6" w:rsidRPr="00F865D6" w:rsidRDefault="00F865D6">
            <w:pPr>
              <w:jc w:val="right"/>
              <w:rPr>
                <w:color w:val="000000"/>
                <w:sz w:val="22"/>
                <w:szCs w:val="22"/>
              </w:rPr>
            </w:pPr>
            <w:r w:rsidRPr="00F865D6">
              <w:rPr>
                <w:color w:val="000000"/>
                <w:sz w:val="22"/>
                <w:szCs w:val="22"/>
              </w:rPr>
              <w:t>6.9</w:t>
            </w:r>
          </w:p>
        </w:tc>
        <w:tc>
          <w:tcPr>
            <w:tcW w:w="1520" w:type="dxa"/>
            <w:tcBorders>
              <w:top w:val="nil"/>
              <w:left w:val="nil"/>
              <w:bottom w:val="single" w:sz="4" w:space="0" w:color="auto"/>
              <w:right w:val="single" w:sz="4" w:space="0" w:color="auto"/>
            </w:tcBorders>
            <w:shd w:val="clear" w:color="auto" w:fill="auto"/>
            <w:noWrap/>
            <w:vAlign w:val="bottom"/>
            <w:hideMark/>
          </w:tcPr>
          <w:p w14:paraId="042CFA00" w14:textId="77777777" w:rsidR="00F865D6" w:rsidRPr="00F865D6" w:rsidRDefault="00F865D6">
            <w:pPr>
              <w:jc w:val="right"/>
              <w:rPr>
                <w:color w:val="000000"/>
                <w:sz w:val="22"/>
                <w:szCs w:val="22"/>
              </w:rPr>
            </w:pPr>
            <w:r w:rsidRPr="00F865D6">
              <w:rPr>
                <w:color w:val="000000"/>
                <w:sz w:val="22"/>
                <w:szCs w:val="22"/>
              </w:rPr>
              <w:t>3.7</w:t>
            </w:r>
          </w:p>
        </w:tc>
        <w:tc>
          <w:tcPr>
            <w:tcW w:w="1660" w:type="dxa"/>
            <w:tcBorders>
              <w:top w:val="nil"/>
              <w:left w:val="nil"/>
              <w:bottom w:val="single" w:sz="4" w:space="0" w:color="auto"/>
              <w:right w:val="single" w:sz="4" w:space="0" w:color="auto"/>
            </w:tcBorders>
            <w:shd w:val="clear" w:color="auto" w:fill="auto"/>
            <w:noWrap/>
            <w:vAlign w:val="bottom"/>
            <w:hideMark/>
          </w:tcPr>
          <w:p w14:paraId="4C7F80AE" w14:textId="77777777" w:rsidR="00F865D6" w:rsidRPr="00F865D6" w:rsidRDefault="00F865D6">
            <w:pPr>
              <w:jc w:val="right"/>
              <w:rPr>
                <w:color w:val="000000"/>
                <w:sz w:val="22"/>
                <w:szCs w:val="22"/>
              </w:rPr>
            </w:pPr>
            <w:r w:rsidRPr="00F865D6">
              <w:rPr>
                <w:color w:val="000000"/>
                <w:sz w:val="22"/>
                <w:szCs w:val="22"/>
              </w:rPr>
              <w:t>5.0</w:t>
            </w:r>
          </w:p>
        </w:tc>
        <w:tc>
          <w:tcPr>
            <w:tcW w:w="1220" w:type="dxa"/>
            <w:tcBorders>
              <w:top w:val="nil"/>
              <w:left w:val="nil"/>
              <w:bottom w:val="single" w:sz="4" w:space="0" w:color="auto"/>
              <w:right w:val="single" w:sz="4" w:space="0" w:color="auto"/>
            </w:tcBorders>
            <w:shd w:val="clear" w:color="auto" w:fill="auto"/>
            <w:noWrap/>
            <w:vAlign w:val="bottom"/>
            <w:hideMark/>
          </w:tcPr>
          <w:p w14:paraId="52787345" w14:textId="77777777" w:rsidR="00F865D6" w:rsidRPr="00F865D6" w:rsidRDefault="00F865D6">
            <w:pPr>
              <w:jc w:val="right"/>
              <w:rPr>
                <w:color w:val="000000"/>
                <w:sz w:val="22"/>
                <w:szCs w:val="22"/>
              </w:rPr>
            </w:pPr>
            <w:r w:rsidRPr="00F865D6">
              <w:rPr>
                <w:color w:val="000000"/>
                <w:sz w:val="22"/>
                <w:szCs w:val="22"/>
              </w:rPr>
              <w:t>5.8</w:t>
            </w:r>
          </w:p>
        </w:tc>
        <w:tc>
          <w:tcPr>
            <w:tcW w:w="960" w:type="dxa"/>
            <w:tcBorders>
              <w:top w:val="nil"/>
              <w:left w:val="nil"/>
              <w:bottom w:val="single" w:sz="4" w:space="0" w:color="auto"/>
              <w:right w:val="single" w:sz="4" w:space="0" w:color="auto"/>
            </w:tcBorders>
            <w:shd w:val="clear" w:color="auto" w:fill="auto"/>
            <w:noWrap/>
            <w:vAlign w:val="bottom"/>
            <w:hideMark/>
          </w:tcPr>
          <w:p w14:paraId="71EAF2A8" w14:textId="77777777" w:rsidR="00F865D6" w:rsidRPr="00F865D6" w:rsidRDefault="00F865D6">
            <w:pPr>
              <w:jc w:val="right"/>
              <w:rPr>
                <w:color w:val="000000"/>
                <w:sz w:val="22"/>
                <w:szCs w:val="22"/>
              </w:rPr>
            </w:pPr>
            <w:r w:rsidRPr="00F865D6">
              <w:rPr>
                <w:color w:val="000000"/>
                <w:sz w:val="22"/>
                <w:szCs w:val="22"/>
              </w:rPr>
              <w:t>5.1</w:t>
            </w:r>
          </w:p>
        </w:tc>
      </w:tr>
      <w:tr w:rsidR="00F865D6" w:rsidRPr="00F865D6" w14:paraId="7589E7AF" w14:textId="77777777" w:rsidTr="003F59E2">
        <w:trPr>
          <w:trHeight w:val="288"/>
        </w:trPr>
        <w:tc>
          <w:tcPr>
            <w:tcW w:w="1960" w:type="dxa"/>
            <w:tcBorders>
              <w:top w:val="nil"/>
              <w:left w:val="single" w:sz="4" w:space="0" w:color="auto"/>
              <w:bottom w:val="single" w:sz="4" w:space="0" w:color="auto"/>
              <w:right w:val="single" w:sz="4" w:space="0" w:color="auto"/>
            </w:tcBorders>
            <w:shd w:val="clear" w:color="auto" w:fill="auto"/>
            <w:noWrap/>
            <w:vAlign w:val="bottom"/>
            <w:hideMark/>
          </w:tcPr>
          <w:p w14:paraId="172E85B0" w14:textId="77777777" w:rsidR="00F865D6" w:rsidRPr="00F865D6" w:rsidRDefault="00F865D6">
            <w:pPr>
              <w:rPr>
                <w:color w:val="000000"/>
                <w:sz w:val="22"/>
                <w:szCs w:val="22"/>
              </w:rPr>
            </w:pPr>
            <w:r w:rsidRPr="00F865D6">
              <w:rPr>
                <w:color w:val="000000"/>
                <w:sz w:val="22"/>
                <w:szCs w:val="22"/>
              </w:rPr>
              <w:t>Maize</w:t>
            </w:r>
          </w:p>
        </w:tc>
        <w:tc>
          <w:tcPr>
            <w:tcW w:w="960" w:type="dxa"/>
            <w:tcBorders>
              <w:top w:val="nil"/>
              <w:left w:val="nil"/>
              <w:bottom w:val="single" w:sz="4" w:space="0" w:color="auto"/>
              <w:right w:val="single" w:sz="4" w:space="0" w:color="auto"/>
            </w:tcBorders>
            <w:shd w:val="clear" w:color="auto" w:fill="auto"/>
            <w:noWrap/>
            <w:vAlign w:val="bottom"/>
            <w:hideMark/>
          </w:tcPr>
          <w:p w14:paraId="6ECB64EF" w14:textId="77777777" w:rsidR="00F865D6" w:rsidRPr="00F865D6" w:rsidRDefault="00F865D6">
            <w:pPr>
              <w:jc w:val="right"/>
              <w:rPr>
                <w:color w:val="000000"/>
                <w:sz w:val="22"/>
                <w:szCs w:val="22"/>
              </w:rPr>
            </w:pPr>
            <w:r w:rsidRPr="00F865D6">
              <w:rPr>
                <w:color w:val="000000"/>
                <w:sz w:val="22"/>
                <w:szCs w:val="22"/>
              </w:rPr>
              <w:t>6.4</w:t>
            </w:r>
          </w:p>
        </w:tc>
        <w:tc>
          <w:tcPr>
            <w:tcW w:w="1520" w:type="dxa"/>
            <w:tcBorders>
              <w:top w:val="nil"/>
              <w:left w:val="nil"/>
              <w:bottom w:val="single" w:sz="4" w:space="0" w:color="auto"/>
              <w:right w:val="single" w:sz="4" w:space="0" w:color="auto"/>
            </w:tcBorders>
            <w:shd w:val="clear" w:color="auto" w:fill="auto"/>
            <w:noWrap/>
            <w:vAlign w:val="bottom"/>
            <w:hideMark/>
          </w:tcPr>
          <w:p w14:paraId="0BEC2747" w14:textId="77777777" w:rsidR="00F865D6" w:rsidRPr="00F865D6" w:rsidRDefault="00F865D6">
            <w:pPr>
              <w:jc w:val="right"/>
              <w:rPr>
                <w:color w:val="000000"/>
                <w:sz w:val="22"/>
                <w:szCs w:val="22"/>
              </w:rPr>
            </w:pPr>
            <w:r w:rsidRPr="00F865D6">
              <w:rPr>
                <w:color w:val="000000"/>
                <w:sz w:val="22"/>
                <w:szCs w:val="22"/>
              </w:rPr>
              <w:t>7.4</w:t>
            </w:r>
          </w:p>
        </w:tc>
        <w:tc>
          <w:tcPr>
            <w:tcW w:w="1660" w:type="dxa"/>
            <w:tcBorders>
              <w:top w:val="nil"/>
              <w:left w:val="nil"/>
              <w:bottom w:val="single" w:sz="4" w:space="0" w:color="auto"/>
              <w:right w:val="single" w:sz="4" w:space="0" w:color="auto"/>
            </w:tcBorders>
            <w:shd w:val="clear" w:color="auto" w:fill="auto"/>
            <w:noWrap/>
            <w:vAlign w:val="bottom"/>
            <w:hideMark/>
          </w:tcPr>
          <w:p w14:paraId="7DAB8B68" w14:textId="77777777" w:rsidR="00F865D6" w:rsidRPr="00F865D6" w:rsidRDefault="00F865D6">
            <w:pPr>
              <w:jc w:val="right"/>
              <w:rPr>
                <w:color w:val="000000"/>
                <w:sz w:val="22"/>
                <w:szCs w:val="22"/>
              </w:rPr>
            </w:pPr>
            <w:r w:rsidRPr="00F865D6">
              <w:rPr>
                <w:color w:val="000000"/>
                <w:sz w:val="22"/>
                <w:szCs w:val="22"/>
              </w:rPr>
              <w:t>5.7</w:t>
            </w:r>
          </w:p>
        </w:tc>
        <w:tc>
          <w:tcPr>
            <w:tcW w:w="1220" w:type="dxa"/>
            <w:tcBorders>
              <w:top w:val="nil"/>
              <w:left w:val="nil"/>
              <w:bottom w:val="single" w:sz="4" w:space="0" w:color="auto"/>
              <w:right w:val="single" w:sz="4" w:space="0" w:color="auto"/>
            </w:tcBorders>
            <w:shd w:val="clear" w:color="auto" w:fill="auto"/>
            <w:noWrap/>
            <w:vAlign w:val="bottom"/>
            <w:hideMark/>
          </w:tcPr>
          <w:p w14:paraId="391012F6" w14:textId="77777777" w:rsidR="00F865D6" w:rsidRPr="00F865D6" w:rsidRDefault="00F865D6">
            <w:pPr>
              <w:jc w:val="right"/>
              <w:rPr>
                <w:color w:val="000000"/>
                <w:sz w:val="22"/>
                <w:szCs w:val="22"/>
              </w:rPr>
            </w:pPr>
            <w:r w:rsidRPr="00F865D6">
              <w:rPr>
                <w:color w:val="000000"/>
                <w:sz w:val="22"/>
                <w:szCs w:val="22"/>
              </w:rPr>
              <w:t>18.7</w:t>
            </w:r>
          </w:p>
        </w:tc>
        <w:tc>
          <w:tcPr>
            <w:tcW w:w="960" w:type="dxa"/>
            <w:tcBorders>
              <w:top w:val="nil"/>
              <w:left w:val="nil"/>
              <w:bottom w:val="single" w:sz="4" w:space="0" w:color="auto"/>
              <w:right w:val="single" w:sz="4" w:space="0" w:color="auto"/>
            </w:tcBorders>
            <w:shd w:val="clear" w:color="auto" w:fill="auto"/>
            <w:noWrap/>
            <w:vAlign w:val="bottom"/>
            <w:hideMark/>
          </w:tcPr>
          <w:p w14:paraId="38B43CB6" w14:textId="77777777" w:rsidR="00F865D6" w:rsidRPr="00F865D6" w:rsidRDefault="00F865D6">
            <w:pPr>
              <w:jc w:val="right"/>
              <w:rPr>
                <w:color w:val="000000"/>
                <w:sz w:val="22"/>
                <w:szCs w:val="22"/>
              </w:rPr>
            </w:pPr>
            <w:r w:rsidRPr="00F865D6">
              <w:rPr>
                <w:color w:val="000000"/>
                <w:sz w:val="22"/>
                <w:szCs w:val="22"/>
              </w:rPr>
              <w:t>24.2</w:t>
            </w:r>
          </w:p>
        </w:tc>
      </w:tr>
      <w:tr w:rsidR="00F865D6" w:rsidRPr="00F865D6" w14:paraId="577FA59C" w14:textId="77777777" w:rsidTr="003F59E2">
        <w:trPr>
          <w:trHeight w:val="288"/>
        </w:trPr>
        <w:tc>
          <w:tcPr>
            <w:tcW w:w="1960" w:type="dxa"/>
            <w:tcBorders>
              <w:top w:val="nil"/>
              <w:left w:val="single" w:sz="4" w:space="0" w:color="auto"/>
              <w:bottom w:val="single" w:sz="4" w:space="0" w:color="auto"/>
              <w:right w:val="single" w:sz="4" w:space="0" w:color="auto"/>
            </w:tcBorders>
            <w:shd w:val="clear" w:color="auto" w:fill="auto"/>
            <w:noWrap/>
            <w:vAlign w:val="bottom"/>
            <w:hideMark/>
          </w:tcPr>
          <w:p w14:paraId="468A0F0C" w14:textId="77777777" w:rsidR="00F865D6" w:rsidRPr="00F865D6" w:rsidRDefault="00F865D6">
            <w:pPr>
              <w:rPr>
                <w:color w:val="000000"/>
                <w:sz w:val="22"/>
                <w:szCs w:val="22"/>
              </w:rPr>
            </w:pPr>
            <w:r w:rsidRPr="00F865D6">
              <w:rPr>
                <w:color w:val="000000"/>
                <w:sz w:val="22"/>
                <w:szCs w:val="22"/>
              </w:rPr>
              <w:t>Milk</w:t>
            </w:r>
          </w:p>
        </w:tc>
        <w:tc>
          <w:tcPr>
            <w:tcW w:w="960" w:type="dxa"/>
            <w:tcBorders>
              <w:top w:val="nil"/>
              <w:left w:val="nil"/>
              <w:bottom w:val="single" w:sz="4" w:space="0" w:color="auto"/>
              <w:right w:val="single" w:sz="4" w:space="0" w:color="auto"/>
            </w:tcBorders>
            <w:shd w:val="clear" w:color="auto" w:fill="auto"/>
            <w:noWrap/>
            <w:vAlign w:val="bottom"/>
            <w:hideMark/>
          </w:tcPr>
          <w:p w14:paraId="39701D8C" w14:textId="77777777" w:rsidR="00F865D6" w:rsidRPr="00F865D6" w:rsidRDefault="00F865D6">
            <w:pPr>
              <w:jc w:val="right"/>
              <w:rPr>
                <w:color w:val="000000"/>
                <w:sz w:val="22"/>
                <w:szCs w:val="22"/>
              </w:rPr>
            </w:pPr>
            <w:r w:rsidRPr="00F865D6">
              <w:rPr>
                <w:color w:val="000000"/>
                <w:sz w:val="22"/>
                <w:szCs w:val="22"/>
              </w:rPr>
              <w:t>0.1</w:t>
            </w:r>
          </w:p>
        </w:tc>
        <w:tc>
          <w:tcPr>
            <w:tcW w:w="1520" w:type="dxa"/>
            <w:tcBorders>
              <w:top w:val="nil"/>
              <w:left w:val="nil"/>
              <w:bottom w:val="single" w:sz="4" w:space="0" w:color="auto"/>
              <w:right w:val="single" w:sz="4" w:space="0" w:color="auto"/>
            </w:tcBorders>
            <w:shd w:val="clear" w:color="auto" w:fill="auto"/>
            <w:noWrap/>
            <w:vAlign w:val="bottom"/>
            <w:hideMark/>
          </w:tcPr>
          <w:p w14:paraId="1D2A43B3" w14:textId="77777777" w:rsidR="00F865D6" w:rsidRPr="00F865D6" w:rsidRDefault="00F865D6">
            <w:pPr>
              <w:jc w:val="right"/>
              <w:rPr>
                <w:color w:val="000000"/>
                <w:sz w:val="22"/>
                <w:szCs w:val="22"/>
              </w:rPr>
            </w:pPr>
            <w:r w:rsidRPr="00F865D6">
              <w:rPr>
                <w:color w:val="000000"/>
                <w:sz w:val="22"/>
                <w:szCs w:val="22"/>
              </w:rPr>
              <w:t>0.5</w:t>
            </w:r>
          </w:p>
        </w:tc>
        <w:tc>
          <w:tcPr>
            <w:tcW w:w="1660" w:type="dxa"/>
            <w:tcBorders>
              <w:top w:val="nil"/>
              <w:left w:val="nil"/>
              <w:bottom w:val="single" w:sz="4" w:space="0" w:color="auto"/>
              <w:right w:val="single" w:sz="4" w:space="0" w:color="auto"/>
            </w:tcBorders>
            <w:shd w:val="clear" w:color="auto" w:fill="auto"/>
            <w:noWrap/>
            <w:vAlign w:val="bottom"/>
            <w:hideMark/>
          </w:tcPr>
          <w:p w14:paraId="7973FA92" w14:textId="77777777" w:rsidR="00F865D6" w:rsidRPr="00F865D6" w:rsidRDefault="00F865D6">
            <w:pPr>
              <w:jc w:val="right"/>
              <w:rPr>
                <w:color w:val="000000"/>
                <w:sz w:val="22"/>
                <w:szCs w:val="22"/>
              </w:rPr>
            </w:pPr>
            <w:r w:rsidRPr="00F865D6">
              <w:rPr>
                <w:color w:val="000000"/>
                <w:sz w:val="22"/>
                <w:szCs w:val="22"/>
              </w:rPr>
              <w:t>-3.7</w:t>
            </w:r>
          </w:p>
        </w:tc>
        <w:tc>
          <w:tcPr>
            <w:tcW w:w="1220" w:type="dxa"/>
            <w:tcBorders>
              <w:top w:val="nil"/>
              <w:left w:val="nil"/>
              <w:bottom w:val="single" w:sz="4" w:space="0" w:color="auto"/>
              <w:right w:val="single" w:sz="4" w:space="0" w:color="auto"/>
            </w:tcBorders>
            <w:shd w:val="clear" w:color="auto" w:fill="auto"/>
            <w:noWrap/>
            <w:vAlign w:val="bottom"/>
            <w:hideMark/>
          </w:tcPr>
          <w:p w14:paraId="7160BD5B" w14:textId="77777777" w:rsidR="00F865D6" w:rsidRPr="00F865D6" w:rsidRDefault="00F865D6">
            <w:pPr>
              <w:jc w:val="right"/>
              <w:rPr>
                <w:color w:val="000000"/>
                <w:sz w:val="22"/>
                <w:szCs w:val="22"/>
              </w:rPr>
            </w:pPr>
            <w:r w:rsidRPr="00F865D6">
              <w:rPr>
                <w:color w:val="000000"/>
                <w:sz w:val="22"/>
                <w:szCs w:val="22"/>
              </w:rPr>
              <w:t>-4.2</w:t>
            </w:r>
          </w:p>
        </w:tc>
        <w:tc>
          <w:tcPr>
            <w:tcW w:w="960" w:type="dxa"/>
            <w:tcBorders>
              <w:top w:val="nil"/>
              <w:left w:val="nil"/>
              <w:bottom w:val="single" w:sz="4" w:space="0" w:color="auto"/>
              <w:right w:val="single" w:sz="4" w:space="0" w:color="auto"/>
            </w:tcBorders>
            <w:shd w:val="clear" w:color="auto" w:fill="auto"/>
            <w:noWrap/>
            <w:vAlign w:val="bottom"/>
            <w:hideMark/>
          </w:tcPr>
          <w:p w14:paraId="274D31E3" w14:textId="77777777" w:rsidR="00F865D6" w:rsidRPr="00F865D6" w:rsidRDefault="00F865D6">
            <w:pPr>
              <w:jc w:val="right"/>
              <w:rPr>
                <w:color w:val="000000"/>
                <w:sz w:val="22"/>
                <w:szCs w:val="22"/>
              </w:rPr>
            </w:pPr>
            <w:r w:rsidRPr="00F865D6">
              <w:rPr>
                <w:color w:val="000000"/>
                <w:sz w:val="22"/>
                <w:szCs w:val="22"/>
              </w:rPr>
              <w:t>-7.8</w:t>
            </w:r>
          </w:p>
        </w:tc>
      </w:tr>
      <w:tr w:rsidR="00F865D6" w:rsidRPr="00F865D6" w14:paraId="499EF6A6" w14:textId="77777777" w:rsidTr="003F59E2">
        <w:trPr>
          <w:trHeight w:val="288"/>
        </w:trPr>
        <w:tc>
          <w:tcPr>
            <w:tcW w:w="1960" w:type="dxa"/>
            <w:tcBorders>
              <w:top w:val="nil"/>
              <w:left w:val="single" w:sz="4" w:space="0" w:color="auto"/>
              <w:bottom w:val="single" w:sz="4" w:space="0" w:color="auto"/>
              <w:right w:val="single" w:sz="4" w:space="0" w:color="auto"/>
            </w:tcBorders>
            <w:shd w:val="clear" w:color="auto" w:fill="auto"/>
            <w:noWrap/>
            <w:vAlign w:val="bottom"/>
            <w:hideMark/>
          </w:tcPr>
          <w:p w14:paraId="57012AD6" w14:textId="77777777" w:rsidR="00F865D6" w:rsidRPr="00F865D6" w:rsidRDefault="00F865D6">
            <w:pPr>
              <w:rPr>
                <w:color w:val="000000"/>
                <w:sz w:val="22"/>
                <w:szCs w:val="22"/>
              </w:rPr>
            </w:pPr>
            <w:r w:rsidRPr="00F865D6">
              <w:rPr>
                <w:color w:val="000000"/>
                <w:sz w:val="22"/>
                <w:szCs w:val="22"/>
              </w:rPr>
              <w:t>Palm oil</w:t>
            </w:r>
          </w:p>
        </w:tc>
        <w:tc>
          <w:tcPr>
            <w:tcW w:w="960" w:type="dxa"/>
            <w:tcBorders>
              <w:top w:val="nil"/>
              <w:left w:val="nil"/>
              <w:bottom w:val="single" w:sz="4" w:space="0" w:color="auto"/>
              <w:right w:val="single" w:sz="4" w:space="0" w:color="auto"/>
            </w:tcBorders>
            <w:shd w:val="clear" w:color="auto" w:fill="auto"/>
            <w:noWrap/>
            <w:vAlign w:val="bottom"/>
            <w:hideMark/>
          </w:tcPr>
          <w:p w14:paraId="62D5336C" w14:textId="77777777" w:rsidR="00F865D6" w:rsidRPr="00F865D6" w:rsidRDefault="00F865D6">
            <w:pPr>
              <w:jc w:val="right"/>
              <w:rPr>
                <w:color w:val="000000"/>
                <w:sz w:val="22"/>
                <w:szCs w:val="22"/>
              </w:rPr>
            </w:pPr>
            <w:r w:rsidRPr="00F865D6">
              <w:rPr>
                <w:color w:val="000000"/>
                <w:sz w:val="22"/>
                <w:szCs w:val="22"/>
              </w:rPr>
              <w:t>-8.0</w:t>
            </w:r>
          </w:p>
        </w:tc>
        <w:tc>
          <w:tcPr>
            <w:tcW w:w="1520" w:type="dxa"/>
            <w:tcBorders>
              <w:top w:val="nil"/>
              <w:left w:val="nil"/>
              <w:bottom w:val="single" w:sz="4" w:space="0" w:color="auto"/>
              <w:right w:val="single" w:sz="4" w:space="0" w:color="auto"/>
            </w:tcBorders>
            <w:shd w:val="clear" w:color="auto" w:fill="auto"/>
            <w:noWrap/>
            <w:vAlign w:val="bottom"/>
            <w:hideMark/>
          </w:tcPr>
          <w:p w14:paraId="2822B4B7" w14:textId="77777777" w:rsidR="00F865D6" w:rsidRPr="00F865D6" w:rsidRDefault="00F865D6">
            <w:pPr>
              <w:jc w:val="right"/>
              <w:rPr>
                <w:color w:val="000000"/>
                <w:sz w:val="22"/>
                <w:szCs w:val="22"/>
              </w:rPr>
            </w:pPr>
            <w:r w:rsidRPr="00F865D6">
              <w:rPr>
                <w:color w:val="000000"/>
                <w:sz w:val="22"/>
                <w:szCs w:val="22"/>
              </w:rPr>
              <w:t>-7.4</w:t>
            </w:r>
          </w:p>
        </w:tc>
        <w:tc>
          <w:tcPr>
            <w:tcW w:w="1660" w:type="dxa"/>
            <w:tcBorders>
              <w:top w:val="nil"/>
              <w:left w:val="nil"/>
              <w:bottom w:val="single" w:sz="4" w:space="0" w:color="auto"/>
              <w:right w:val="single" w:sz="4" w:space="0" w:color="auto"/>
            </w:tcBorders>
            <w:shd w:val="clear" w:color="auto" w:fill="auto"/>
            <w:noWrap/>
            <w:vAlign w:val="bottom"/>
            <w:hideMark/>
          </w:tcPr>
          <w:p w14:paraId="567B9B55" w14:textId="77777777" w:rsidR="00F865D6" w:rsidRPr="00F865D6" w:rsidRDefault="00F865D6">
            <w:pPr>
              <w:jc w:val="right"/>
              <w:rPr>
                <w:color w:val="000000"/>
                <w:sz w:val="22"/>
                <w:szCs w:val="22"/>
              </w:rPr>
            </w:pPr>
            <w:r w:rsidRPr="00F865D6">
              <w:rPr>
                <w:color w:val="000000"/>
                <w:sz w:val="22"/>
                <w:szCs w:val="22"/>
              </w:rPr>
              <w:t>-8.5</w:t>
            </w:r>
          </w:p>
        </w:tc>
        <w:tc>
          <w:tcPr>
            <w:tcW w:w="1220" w:type="dxa"/>
            <w:tcBorders>
              <w:top w:val="nil"/>
              <w:left w:val="nil"/>
              <w:bottom w:val="single" w:sz="4" w:space="0" w:color="auto"/>
              <w:right w:val="single" w:sz="4" w:space="0" w:color="auto"/>
            </w:tcBorders>
            <w:shd w:val="clear" w:color="auto" w:fill="auto"/>
            <w:noWrap/>
            <w:vAlign w:val="bottom"/>
            <w:hideMark/>
          </w:tcPr>
          <w:p w14:paraId="5F02F753" w14:textId="77777777" w:rsidR="00F865D6" w:rsidRPr="00F865D6" w:rsidRDefault="00F865D6">
            <w:pPr>
              <w:jc w:val="right"/>
              <w:rPr>
                <w:color w:val="000000"/>
                <w:sz w:val="22"/>
                <w:szCs w:val="22"/>
              </w:rPr>
            </w:pPr>
            <w:r w:rsidRPr="00F865D6">
              <w:rPr>
                <w:color w:val="000000"/>
                <w:sz w:val="22"/>
                <w:szCs w:val="22"/>
              </w:rPr>
              <w:t>-10.6</w:t>
            </w:r>
          </w:p>
        </w:tc>
        <w:tc>
          <w:tcPr>
            <w:tcW w:w="960" w:type="dxa"/>
            <w:tcBorders>
              <w:top w:val="nil"/>
              <w:left w:val="nil"/>
              <w:bottom w:val="single" w:sz="4" w:space="0" w:color="auto"/>
              <w:right w:val="single" w:sz="4" w:space="0" w:color="auto"/>
            </w:tcBorders>
            <w:shd w:val="clear" w:color="auto" w:fill="auto"/>
            <w:noWrap/>
            <w:vAlign w:val="bottom"/>
            <w:hideMark/>
          </w:tcPr>
          <w:p w14:paraId="0FD71721" w14:textId="77777777" w:rsidR="00F865D6" w:rsidRPr="00F865D6" w:rsidRDefault="00F865D6">
            <w:pPr>
              <w:jc w:val="right"/>
              <w:rPr>
                <w:color w:val="000000"/>
                <w:sz w:val="22"/>
                <w:szCs w:val="22"/>
              </w:rPr>
            </w:pPr>
            <w:r w:rsidRPr="00F865D6">
              <w:rPr>
                <w:color w:val="000000"/>
                <w:sz w:val="22"/>
                <w:szCs w:val="22"/>
              </w:rPr>
              <w:t>-10.7</w:t>
            </w:r>
          </w:p>
        </w:tc>
      </w:tr>
      <w:tr w:rsidR="00F865D6" w:rsidRPr="00F865D6" w14:paraId="63DC21FA" w14:textId="77777777" w:rsidTr="003F59E2">
        <w:trPr>
          <w:trHeight w:val="288"/>
        </w:trPr>
        <w:tc>
          <w:tcPr>
            <w:tcW w:w="1960" w:type="dxa"/>
            <w:tcBorders>
              <w:top w:val="nil"/>
              <w:left w:val="single" w:sz="4" w:space="0" w:color="auto"/>
              <w:bottom w:val="single" w:sz="4" w:space="0" w:color="auto"/>
              <w:right w:val="single" w:sz="4" w:space="0" w:color="auto"/>
            </w:tcBorders>
            <w:shd w:val="clear" w:color="auto" w:fill="auto"/>
            <w:noWrap/>
            <w:vAlign w:val="bottom"/>
            <w:hideMark/>
          </w:tcPr>
          <w:p w14:paraId="726917D7" w14:textId="77777777" w:rsidR="00F865D6" w:rsidRPr="00F865D6" w:rsidRDefault="00F865D6">
            <w:pPr>
              <w:rPr>
                <w:color w:val="000000"/>
                <w:sz w:val="22"/>
                <w:szCs w:val="22"/>
              </w:rPr>
            </w:pPr>
            <w:r w:rsidRPr="00F865D6">
              <w:rPr>
                <w:color w:val="000000"/>
                <w:sz w:val="22"/>
                <w:szCs w:val="22"/>
              </w:rPr>
              <w:t>Pig meat</w:t>
            </w:r>
          </w:p>
        </w:tc>
        <w:tc>
          <w:tcPr>
            <w:tcW w:w="960" w:type="dxa"/>
            <w:tcBorders>
              <w:top w:val="nil"/>
              <w:left w:val="nil"/>
              <w:bottom w:val="single" w:sz="4" w:space="0" w:color="auto"/>
              <w:right w:val="single" w:sz="4" w:space="0" w:color="auto"/>
            </w:tcBorders>
            <w:shd w:val="clear" w:color="auto" w:fill="auto"/>
            <w:noWrap/>
            <w:vAlign w:val="bottom"/>
            <w:hideMark/>
          </w:tcPr>
          <w:p w14:paraId="44C495A1" w14:textId="77777777" w:rsidR="00F865D6" w:rsidRPr="00F865D6" w:rsidRDefault="00F865D6">
            <w:pPr>
              <w:jc w:val="right"/>
              <w:rPr>
                <w:color w:val="000000"/>
                <w:sz w:val="22"/>
                <w:szCs w:val="22"/>
              </w:rPr>
            </w:pPr>
            <w:r w:rsidRPr="00F865D6">
              <w:rPr>
                <w:color w:val="000000"/>
                <w:sz w:val="22"/>
                <w:szCs w:val="22"/>
              </w:rPr>
              <w:t>13.5</w:t>
            </w:r>
          </w:p>
        </w:tc>
        <w:tc>
          <w:tcPr>
            <w:tcW w:w="1520" w:type="dxa"/>
            <w:tcBorders>
              <w:top w:val="nil"/>
              <w:left w:val="nil"/>
              <w:bottom w:val="single" w:sz="4" w:space="0" w:color="auto"/>
              <w:right w:val="single" w:sz="4" w:space="0" w:color="auto"/>
            </w:tcBorders>
            <w:shd w:val="clear" w:color="auto" w:fill="auto"/>
            <w:noWrap/>
            <w:vAlign w:val="bottom"/>
            <w:hideMark/>
          </w:tcPr>
          <w:p w14:paraId="44AD2B83" w14:textId="77777777" w:rsidR="00F865D6" w:rsidRPr="00F865D6" w:rsidRDefault="00F865D6">
            <w:pPr>
              <w:jc w:val="right"/>
              <w:rPr>
                <w:color w:val="000000"/>
                <w:sz w:val="22"/>
                <w:szCs w:val="22"/>
              </w:rPr>
            </w:pPr>
            <w:r w:rsidRPr="00F865D6">
              <w:rPr>
                <w:color w:val="000000"/>
                <w:sz w:val="22"/>
                <w:szCs w:val="22"/>
              </w:rPr>
              <w:t>13.4</w:t>
            </w:r>
          </w:p>
        </w:tc>
        <w:tc>
          <w:tcPr>
            <w:tcW w:w="1660" w:type="dxa"/>
            <w:tcBorders>
              <w:top w:val="nil"/>
              <w:left w:val="nil"/>
              <w:bottom w:val="single" w:sz="4" w:space="0" w:color="auto"/>
              <w:right w:val="single" w:sz="4" w:space="0" w:color="auto"/>
            </w:tcBorders>
            <w:shd w:val="clear" w:color="auto" w:fill="auto"/>
            <w:noWrap/>
            <w:vAlign w:val="bottom"/>
            <w:hideMark/>
          </w:tcPr>
          <w:p w14:paraId="426B1B41" w14:textId="77777777" w:rsidR="00F865D6" w:rsidRPr="00F865D6" w:rsidRDefault="00F865D6">
            <w:pPr>
              <w:jc w:val="right"/>
              <w:rPr>
                <w:color w:val="000000"/>
                <w:sz w:val="22"/>
                <w:szCs w:val="22"/>
              </w:rPr>
            </w:pPr>
            <w:r w:rsidRPr="00F865D6">
              <w:rPr>
                <w:color w:val="000000"/>
                <w:sz w:val="22"/>
                <w:szCs w:val="22"/>
              </w:rPr>
              <w:t>12.5</w:t>
            </w:r>
          </w:p>
        </w:tc>
        <w:tc>
          <w:tcPr>
            <w:tcW w:w="1220" w:type="dxa"/>
            <w:tcBorders>
              <w:top w:val="nil"/>
              <w:left w:val="nil"/>
              <w:bottom w:val="single" w:sz="4" w:space="0" w:color="auto"/>
              <w:right w:val="single" w:sz="4" w:space="0" w:color="auto"/>
            </w:tcBorders>
            <w:shd w:val="clear" w:color="auto" w:fill="auto"/>
            <w:noWrap/>
            <w:vAlign w:val="bottom"/>
            <w:hideMark/>
          </w:tcPr>
          <w:p w14:paraId="22015E36" w14:textId="77777777" w:rsidR="00F865D6" w:rsidRPr="00F865D6" w:rsidRDefault="00F865D6">
            <w:pPr>
              <w:jc w:val="right"/>
              <w:rPr>
                <w:color w:val="000000"/>
                <w:sz w:val="22"/>
                <w:szCs w:val="22"/>
              </w:rPr>
            </w:pPr>
            <w:r w:rsidRPr="00F865D6">
              <w:rPr>
                <w:color w:val="000000"/>
                <w:sz w:val="22"/>
                <w:szCs w:val="22"/>
              </w:rPr>
              <w:t>12.3</w:t>
            </w:r>
          </w:p>
        </w:tc>
        <w:tc>
          <w:tcPr>
            <w:tcW w:w="960" w:type="dxa"/>
            <w:tcBorders>
              <w:top w:val="nil"/>
              <w:left w:val="nil"/>
              <w:bottom w:val="single" w:sz="4" w:space="0" w:color="auto"/>
              <w:right w:val="single" w:sz="4" w:space="0" w:color="auto"/>
            </w:tcBorders>
            <w:shd w:val="clear" w:color="auto" w:fill="auto"/>
            <w:noWrap/>
            <w:vAlign w:val="bottom"/>
            <w:hideMark/>
          </w:tcPr>
          <w:p w14:paraId="2988100A" w14:textId="77777777" w:rsidR="00F865D6" w:rsidRPr="00F865D6" w:rsidRDefault="00F865D6">
            <w:pPr>
              <w:jc w:val="right"/>
              <w:rPr>
                <w:color w:val="000000"/>
                <w:sz w:val="22"/>
                <w:szCs w:val="22"/>
              </w:rPr>
            </w:pPr>
            <w:r w:rsidRPr="00F865D6">
              <w:rPr>
                <w:color w:val="000000"/>
                <w:sz w:val="22"/>
                <w:szCs w:val="22"/>
              </w:rPr>
              <w:t>13.4</w:t>
            </w:r>
          </w:p>
        </w:tc>
      </w:tr>
      <w:tr w:rsidR="00F865D6" w:rsidRPr="00F865D6" w14:paraId="059D5B75" w14:textId="77777777" w:rsidTr="003F59E2">
        <w:trPr>
          <w:trHeight w:val="288"/>
        </w:trPr>
        <w:tc>
          <w:tcPr>
            <w:tcW w:w="1960" w:type="dxa"/>
            <w:tcBorders>
              <w:top w:val="nil"/>
              <w:left w:val="single" w:sz="4" w:space="0" w:color="auto"/>
              <w:bottom w:val="single" w:sz="4" w:space="0" w:color="auto"/>
              <w:right w:val="single" w:sz="4" w:space="0" w:color="auto"/>
            </w:tcBorders>
            <w:shd w:val="clear" w:color="auto" w:fill="auto"/>
            <w:noWrap/>
            <w:vAlign w:val="bottom"/>
            <w:hideMark/>
          </w:tcPr>
          <w:p w14:paraId="0F106591" w14:textId="77777777" w:rsidR="00F865D6" w:rsidRPr="00F865D6" w:rsidRDefault="00F865D6">
            <w:pPr>
              <w:rPr>
                <w:color w:val="000000"/>
                <w:sz w:val="22"/>
                <w:szCs w:val="22"/>
              </w:rPr>
            </w:pPr>
            <w:r w:rsidRPr="00F865D6">
              <w:rPr>
                <w:color w:val="000000"/>
                <w:sz w:val="22"/>
                <w:szCs w:val="22"/>
              </w:rPr>
              <w:t>Poultry meat</w:t>
            </w:r>
          </w:p>
        </w:tc>
        <w:tc>
          <w:tcPr>
            <w:tcW w:w="960" w:type="dxa"/>
            <w:tcBorders>
              <w:top w:val="nil"/>
              <w:left w:val="nil"/>
              <w:bottom w:val="single" w:sz="4" w:space="0" w:color="auto"/>
              <w:right w:val="single" w:sz="4" w:space="0" w:color="auto"/>
            </w:tcBorders>
            <w:shd w:val="clear" w:color="auto" w:fill="auto"/>
            <w:noWrap/>
            <w:vAlign w:val="bottom"/>
            <w:hideMark/>
          </w:tcPr>
          <w:p w14:paraId="031514D1" w14:textId="77777777" w:rsidR="00F865D6" w:rsidRPr="00F865D6" w:rsidRDefault="00F865D6">
            <w:pPr>
              <w:jc w:val="right"/>
              <w:rPr>
                <w:color w:val="000000"/>
                <w:sz w:val="22"/>
                <w:szCs w:val="22"/>
              </w:rPr>
            </w:pPr>
            <w:r w:rsidRPr="00F865D6">
              <w:rPr>
                <w:color w:val="000000"/>
                <w:sz w:val="22"/>
                <w:szCs w:val="22"/>
              </w:rPr>
              <w:t>15.3</w:t>
            </w:r>
          </w:p>
        </w:tc>
        <w:tc>
          <w:tcPr>
            <w:tcW w:w="1520" w:type="dxa"/>
            <w:tcBorders>
              <w:top w:val="nil"/>
              <w:left w:val="nil"/>
              <w:bottom w:val="single" w:sz="4" w:space="0" w:color="auto"/>
              <w:right w:val="single" w:sz="4" w:space="0" w:color="auto"/>
            </w:tcBorders>
            <w:shd w:val="clear" w:color="auto" w:fill="auto"/>
            <w:noWrap/>
            <w:vAlign w:val="bottom"/>
            <w:hideMark/>
          </w:tcPr>
          <w:p w14:paraId="5ACC3EAF" w14:textId="77777777" w:rsidR="00F865D6" w:rsidRPr="00F865D6" w:rsidRDefault="00F865D6">
            <w:pPr>
              <w:jc w:val="right"/>
              <w:rPr>
                <w:color w:val="000000"/>
                <w:sz w:val="22"/>
                <w:szCs w:val="22"/>
              </w:rPr>
            </w:pPr>
            <w:r w:rsidRPr="00F865D6">
              <w:rPr>
                <w:color w:val="000000"/>
                <w:sz w:val="22"/>
                <w:szCs w:val="22"/>
              </w:rPr>
              <w:t>14.1</w:t>
            </w:r>
          </w:p>
        </w:tc>
        <w:tc>
          <w:tcPr>
            <w:tcW w:w="1660" w:type="dxa"/>
            <w:tcBorders>
              <w:top w:val="nil"/>
              <w:left w:val="nil"/>
              <w:bottom w:val="single" w:sz="4" w:space="0" w:color="auto"/>
              <w:right w:val="single" w:sz="4" w:space="0" w:color="auto"/>
            </w:tcBorders>
            <w:shd w:val="clear" w:color="auto" w:fill="auto"/>
            <w:noWrap/>
            <w:vAlign w:val="bottom"/>
            <w:hideMark/>
          </w:tcPr>
          <w:p w14:paraId="688DB895" w14:textId="77777777" w:rsidR="00F865D6" w:rsidRPr="00F865D6" w:rsidRDefault="00F865D6">
            <w:pPr>
              <w:jc w:val="right"/>
              <w:rPr>
                <w:color w:val="000000"/>
                <w:sz w:val="22"/>
                <w:szCs w:val="22"/>
              </w:rPr>
            </w:pPr>
            <w:r w:rsidRPr="00F865D6">
              <w:rPr>
                <w:color w:val="000000"/>
                <w:sz w:val="22"/>
                <w:szCs w:val="22"/>
              </w:rPr>
              <w:t>15.6</w:t>
            </w:r>
          </w:p>
        </w:tc>
        <w:tc>
          <w:tcPr>
            <w:tcW w:w="1220" w:type="dxa"/>
            <w:tcBorders>
              <w:top w:val="nil"/>
              <w:left w:val="nil"/>
              <w:bottom w:val="single" w:sz="4" w:space="0" w:color="auto"/>
              <w:right w:val="single" w:sz="4" w:space="0" w:color="auto"/>
            </w:tcBorders>
            <w:shd w:val="clear" w:color="auto" w:fill="auto"/>
            <w:noWrap/>
            <w:vAlign w:val="bottom"/>
            <w:hideMark/>
          </w:tcPr>
          <w:p w14:paraId="1FEF2A63" w14:textId="77777777" w:rsidR="00F865D6" w:rsidRPr="00F865D6" w:rsidRDefault="00F865D6">
            <w:pPr>
              <w:jc w:val="right"/>
              <w:rPr>
                <w:color w:val="000000"/>
                <w:sz w:val="22"/>
                <w:szCs w:val="22"/>
              </w:rPr>
            </w:pPr>
            <w:r w:rsidRPr="00F865D6">
              <w:rPr>
                <w:color w:val="000000"/>
                <w:sz w:val="22"/>
                <w:szCs w:val="22"/>
              </w:rPr>
              <w:t>18.7</w:t>
            </w:r>
          </w:p>
        </w:tc>
        <w:tc>
          <w:tcPr>
            <w:tcW w:w="960" w:type="dxa"/>
            <w:tcBorders>
              <w:top w:val="nil"/>
              <w:left w:val="nil"/>
              <w:bottom w:val="single" w:sz="4" w:space="0" w:color="auto"/>
              <w:right w:val="single" w:sz="4" w:space="0" w:color="auto"/>
            </w:tcBorders>
            <w:shd w:val="clear" w:color="auto" w:fill="auto"/>
            <w:noWrap/>
            <w:vAlign w:val="bottom"/>
            <w:hideMark/>
          </w:tcPr>
          <w:p w14:paraId="3539CDEA" w14:textId="77777777" w:rsidR="00F865D6" w:rsidRPr="00F865D6" w:rsidRDefault="00F865D6">
            <w:pPr>
              <w:jc w:val="right"/>
              <w:rPr>
                <w:color w:val="000000"/>
                <w:sz w:val="22"/>
                <w:szCs w:val="22"/>
              </w:rPr>
            </w:pPr>
            <w:r w:rsidRPr="00F865D6">
              <w:rPr>
                <w:color w:val="000000"/>
                <w:sz w:val="22"/>
                <w:szCs w:val="22"/>
              </w:rPr>
              <w:t>12.9</w:t>
            </w:r>
          </w:p>
        </w:tc>
      </w:tr>
      <w:tr w:rsidR="00F865D6" w:rsidRPr="00F865D6" w14:paraId="227C56F0" w14:textId="77777777" w:rsidTr="003F59E2">
        <w:trPr>
          <w:trHeight w:val="288"/>
        </w:trPr>
        <w:tc>
          <w:tcPr>
            <w:tcW w:w="1960" w:type="dxa"/>
            <w:tcBorders>
              <w:top w:val="nil"/>
              <w:left w:val="single" w:sz="4" w:space="0" w:color="auto"/>
              <w:bottom w:val="single" w:sz="4" w:space="0" w:color="auto"/>
              <w:right w:val="single" w:sz="4" w:space="0" w:color="auto"/>
            </w:tcBorders>
            <w:shd w:val="clear" w:color="auto" w:fill="auto"/>
            <w:noWrap/>
            <w:vAlign w:val="bottom"/>
            <w:hideMark/>
          </w:tcPr>
          <w:p w14:paraId="00CA5BFE" w14:textId="77777777" w:rsidR="00F865D6" w:rsidRPr="00F865D6" w:rsidRDefault="00F865D6">
            <w:pPr>
              <w:rPr>
                <w:color w:val="000000"/>
                <w:sz w:val="22"/>
                <w:szCs w:val="22"/>
              </w:rPr>
            </w:pPr>
            <w:r w:rsidRPr="00F865D6">
              <w:rPr>
                <w:color w:val="000000"/>
                <w:sz w:val="22"/>
                <w:szCs w:val="22"/>
              </w:rPr>
              <w:t>Rice</w:t>
            </w:r>
          </w:p>
        </w:tc>
        <w:tc>
          <w:tcPr>
            <w:tcW w:w="960" w:type="dxa"/>
            <w:tcBorders>
              <w:top w:val="nil"/>
              <w:left w:val="nil"/>
              <w:bottom w:val="single" w:sz="4" w:space="0" w:color="auto"/>
              <w:right w:val="single" w:sz="4" w:space="0" w:color="auto"/>
            </w:tcBorders>
            <w:shd w:val="clear" w:color="auto" w:fill="auto"/>
            <w:noWrap/>
            <w:vAlign w:val="bottom"/>
            <w:hideMark/>
          </w:tcPr>
          <w:p w14:paraId="6E37D37F" w14:textId="77777777" w:rsidR="00F865D6" w:rsidRPr="00F865D6" w:rsidRDefault="00F865D6">
            <w:pPr>
              <w:jc w:val="right"/>
              <w:rPr>
                <w:color w:val="000000"/>
                <w:sz w:val="22"/>
                <w:szCs w:val="22"/>
              </w:rPr>
            </w:pPr>
            <w:r w:rsidRPr="00F865D6">
              <w:rPr>
                <w:color w:val="000000"/>
                <w:sz w:val="22"/>
                <w:szCs w:val="22"/>
              </w:rPr>
              <w:t>35.2</w:t>
            </w:r>
          </w:p>
        </w:tc>
        <w:tc>
          <w:tcPr>
            <w:tcW w:w="1520" w:type="dxa"/>
            <w:tcBorders>
              <w:top w:val="nil"/>
              <w:left w:val="nil"/>
              <w:bottom w:val="single" w:sz="4" w:space="0" w:color="auto"/>
              <w:right w:val="single" w:sz="4" w:space="0" w:color="auto"/>
            </w:tcBorders>
            <w:shd w:val="clear" w:color="auto" w:fill="auto"/>
            <w:noWrap/>
            <w:vAlign w:val="bottom"/>
            <w:hideMark/>
          </w:tcPr>
          <w:p w14:paraId="6EB9A021" w14:textId="77777777" w:rsidR="00F865D6" w:rsidRPr="00F865D6" w:rsidRDefault="00F865D6">
            <w:pPr>
              <w:jc w:val="right"/>
              <w:rPr>
                <w:color w:val="000000"/>
                <w:sz w:val="22"/>
                <w:szCs w:val="22"/>
              </w:rPr>
            </w:pPr>
            <w:r w:rsidRPr="00F865D6">
              <w:rPr>
                <w:color w:val="000000"/>
                <w:sz w:val="22"/>
                <w:szCs w:val="22"/>
              </w:rPr>
              <w:t>18.2</w:t>
            </w:r>
          </w:p>
        </w:tc>
        <w:tc>
          <w:tcPr>
            <w:tcW w:w="1660" w:type="dxa"/>
            <w:tcBorders>
              <w:top w:val="nil"/>
              <w:left w:val="nil"/>
              <w:bottom w:val="single" w:sz="4" w:space="0" w:color="auto"/>
              <w:right w:val="single" w:sz="4" w:space="0" w:color="auto"/>
            </w:tcBorders>
            <w:shd w:val="clear" w:color="auto" w:fill="auto"/>
            <w:noWrap/>
            <w:vAlign w:val="bottom"/>
            <w:hideMark/>
          </w:tcPr>
          <w:p w14:paraId="6240F411" w14:textId="77777777" w:rsidR="00F865D6" w:rsidRPr="00F865D6" w:rsidRDefault="00F865D6">
            <w:pPr>
              <w:jc w:val="right"/>
              <w:rPr>
                <w:color w:val="000000"/>
                <w:sz w:val="22"/>
                <w:szCs w:val="22"/>
              </w:rPr>
            </w:pPr>
            <w:r w:rsidRPr="00F865D6">
              <w:rPr>
                <w:color w:val="000000"/>
                <w:sz w:val="22"/>
                <w:szCs w:val="22"/>
              </w:rPr>
              <w:t>15.2</w:t>
            </w:r>
          </w:p>
        </w:tc>
        <w:tc>
          <w:tcPr>
            <w:tcW w:w="1220" w:type="dxa"/>
            <w:tcBorders>
              <w:top w:val="nil"/>
              <w:left w:val="nil"/>
              <w:bottom w:val="single" w:sz="4" w:space="0" w:color="auto"/>
              <w:right w:val="single" w:sz="4" w:space="0" w:color="auto"/>
            </w:tcBorders>
            <w:shd w:val="clear" w:color="auto" w:fill="auto"/>
            <w:noWrap/>
            <w:vAlign w:val="bottom"/>
            <w:hideMark/>
          </w:tcPr>
          <w:p w14:paraId="70E02789" w14:textId="77777777" w:rsidR="00F865D6" w:rsidRPr="00F865D6" w:rsidRDefault="00F865D6">
            <w:pPr>
              <w:jc w:val="right"/>
              <w:rPr>
                <w:color w:val="000000"/>
                <w:sz w:val="22"/>
                <w:szCs w:val="22"/>
              </w:rPr>
            </w:pPr>
            <w:r w:rsidRPr="00F865D6">
              <w:rPr>
                <w:color w:val="000000"/>
                <w:sz w:val="22"/>
                <w:szCs w:val="22"/>
              </w:rPr>
              <w:t>10.7</w:t>
            </w:r>
          </w:p>
        </w:tc>
        <w:tc>
          <w:tcPr>
            <w:tcW w:w="960" w:type="dxa"/>
            <w:tcBorders>
              <w:top w:val="nil"/>
              <w:left w:val="nil"/>
              <w:bottom w:val="single" w:sz="4" w:space="0" w:color="auto"/>
              <w:right w:val="single" w:sz="4" w:space="0" w:color="auto"/>
            </w:tcBorders>
            <w:shd w:val="clear" w:color="auto" w:fill="auto"/>
            <w:noWrap/>
            <w:vAlign w:val="bottom"/>
            <w:hideMark/>
          </w:tcPr>
          <w:p w14:paraId="62599A2B" w14:textId="77777777" w:rsidR="00F865D6" w:rsidRPr="00F865D6" w:rsidRDefault="00F865D6">
            <w:pPr>
              <w:jc w:val="right"/>
              <w:rPr>
                <w:color w:val="000000"/>
                <w:sz w:val="22"/>
                <w:szCs w:val="22"/>
              </w:rPr>
            </w:pPr>
            <w:r w:rsidRPr="00F865D6">
              <w:rPr>
                <w:color w:val="000000"/>
                <w:sz w:val="22"/>
                <w:szCs w:val="22"/>
              </w:rPr>
              <w:t>27.0</w:t>
            </w:r>
          </w:p>
        </w:tc>
      </w:tr>
      <w:tr w:rsidR="00F865D6" w:rsidRPr="00F865D6" w14:paraId="56EA4C04" w14:textId="77777777" w:rsidTr="003F59E2">
        <w:trPr>
          <w:trHeight w:val="288"/>
        </w:trPr>
        <w:tc>
          <w:tcPr>
            <w:tcW w:w="1960" w:type="dxa"/>
            <w:tcBorders>
              <w:top w:val="nil"/>
              <w:left w:val="single" w:sz="4" w:space="0" w:color="auto"/>
              <w:bottom w:val="single" w:sz="4" w:space="0" w:color="auto"/>
              <w:right w:val="single" w:sz="4" w:space="0" w:color="auto"/>
            </w:tcBorders>
            <w:shd w:val="clear" w:color="auto" w:fill="auto"/>
            <w:noWrap/>
            <w:vAlign w:val="bottom"/>
            <w:hideMark/>
          </w:tcPr>
          <w:p w14:paraId="171FFD92" w14:textId="77777777" w:rsidR="00F865D6" w:rsidRPr="00F865D6" w:rsidRDefault="00F865D6">
            <w:pPr>
              <w:rPr>
                <w:color w:val="000000"/>
                <w:sz w:val="22"/>
                <w:szCs w:val="22"/>
              </w:rPr>
            </w:pPr>
            <w:r w:rsidRPr="00F865D6">
              <w:rPr>
                <w:color w:val="000000"/>
                <w:sz w:val="22"/>
                <w:szCs w:val="22"/>
              </w:rPr>
              <w:t>Soybeans</w:t>
            </w:r>
          </w:p>
        </w:tc>
        <w:tc>
          <w:tcPr>
            <w:tcW w:w="960" w:type="dxa"/>
            <w:tcBorders>
              <w:top w:val="nil"/>
              <w:left w:val="nil"/>
              <w:bottom w:val="single" w:sz="4" w:space="0" w:color="auto"/>
              <w:right w:val="single" w:sz="4" w:space="0" w:color="auto"/>
            </w:tcBorders>
            <w:shd w:val="clear" w:color="auto" w:fill="auto"/>
            <w:noWrap/>
            <w:vAlign w:val="bottom"/>
            <w:hideMark/>
          </w:tcPr>
          <w:p w14:paraId="414F8F59" w14:textId="77777777" w:rsidR="00F865D6" w:rsidRPr="00F865D6" w:rsidRDefault="00F865D6">
            <w:pPr>
              <w:jc w:val="right"/>
              <w:rPr>
                <w:color w:val="000000"/>
                <w:sz w:val="22"/>
                <w:szCs w:val="22"/>
              </w:rPr>
            </w:pPr>
            <w:r w:rsidRPr="00F865D6">
              <w:rPr>
                <w:color w:val="000000"/>
                <w:sz w:val="22"/>
                <w:szCs w:val="22"/>
              </w:rPr>
              <w:t>-3.9</w:t>
            </w:r>
          </w:p>
        </w:tc>
        <w:tc>
          <w:tcPr>
            <w:tcW w:w="1520" w:type="dxa"/>
            <w:tcBorders>
              <w:top w:val="nil"/>
              <w:left w:val="nil"/>
              <w:bottom w:val="single" w:sz="4" w:space="0" w:color="auto"/>
              <w:right w:val="single" w:sz="4" w:space="0" w:color="auto"/>
            </w:tcBorders>
            <w:shd w:val="clear" w:color="auto" w:fill="auto"/>
            <w:noWrap/>
            <w:vAlign w:val="bottom"/>
            <w:hideMark/>
          </w:tcPr>
          <w:p w14:paraId="243B23D9" w14:textId="77777777" w:rsidR="00F865D6" w:rsidRPr="00F865D6" w:rsidRDefault="00F865D6">
            <w:pPr>
              <w:jc w:val="right"/>
              <w:rPr>
                <w:color w:val="000000"/>
                <w:sz w:val="22"/>
                <w:szCs w:val="22"/>
              </w:rPr>
            </w:pPr>
            <w:r w:rsidRPr="00F865D6">
              <w:rPr>
                <w:color w:val="000000"/>
                <w:sz w:val="22"/>
                <w:szCs w:val="22"/>
              </w:rPr>
              <w:t>-5.5</w:t>
            </w:r>
          </w:p>
        </w:tc>
        <w:tc>
          <w:tcPr>
            <w:tcW w:w="1660" w:type="dxa"/>
            <w:tcBorders>
              <w:top w:val="nil"/>
              <w:left w:val="nil"/>
              <w:bottom w:val="single" w:sz="4" w:space="0" w:color="auto"/>
              <w:right w:val="single" w:sz="4" w:space="0" w:color="auto"/>
            </w:tcBorders>
            <w:shd w:val="clear" w:color="auto" w:fill="auto"/>
            <w:noWrap/>
            <w:vAlign w:val="bottom"/>
            <w:hideMark/>
          </w:tcPr>
          <w:p w14:paraId="0BDAFF7F" w14:textId="77777777" w:rsidR="00F865D6" w:rsidRPr="00F865D6" w:rsidRDefault="00F865D6">
            <w:pPr>
              <w:jc w:val="right"/>
              <w:rPr>
                <w:color w:val="000000"/>
                <w:sz w:val="22"/>
                <w:szCs w:val="22"/>
              </w:rPr>
            </w:pPr>
            <w:r w:rsidRPr="00F865D6">
              <w:rPr>
                <w:color w:val="000000"/>
                <w:sz w:val="22"/>
                <w:szCs w:val="22"/>
              </w:rPr>
              <w:t>-3.0</w:t>
            </w:r>
          </w:p>
        </w:tc>
        <w:tc>
          <w:tcPr>
            <w:tcW w:w="1220" w:type="dxa"/>
            <w:tcBorders>
              <w:top w:val="nil"/>
              <w:left w:val="nil"/>
              <w:bottom w:val="single" w:sz="4" w:space="0" w:color="auto"/>
              <w:right w:val="single" w:sz="4" w:space="0" w:color="auto"/>
            </w:tcBorders>
            <w:shd w:val="clear" w:color="auto" w:fill="auto"/>
            <w:noWrap/>
            <w:vAlign w:val="bottom"/>
            <w:hideMark/>
          </w:tcPr>
          <w:p w14:paraId="6B885F6F" w14:textId="77777777" w:rsidR="00F865D6" w:rsidRPr="00F865D6" w:rsidRDefault="00F865D6">
            <w:pPr>
              <w:jc w:val="right"/>
              <w:rPr>
                <w:color w:val="000000"/>
                <w:sz w:val="22"/>
                <w:szCs w:val="22"/>
              </w:rPr>
            </w:pPr>
            <w:r w:rsidRPr="00F865D6">
              <w:rPr>
                <w:color w:val="000000"/>
                <w:sz w:val="22"/>
                <w:szCs w:val="22"/>
              </w:rPr>
              <w:t>1.6</w:t>
            </w:r>
          </w:p>
        </w:tc>
        <w:tc>
          <w:tcPr>
            <w:tcW w:w="960" w:type="dxa"/>
            <w:tcBorders>
              <w:top w:val="nil"/>
              <w:left w:val="nil"/>
              <w:bottom w:val="single" w:sz="4" w:space="0" w:color="auto"/>
              <w:right w:val="single" w:sz="4" w:space="0" w:color="auto"/>
            </w:tcBorders>
            <w:shd w:val="clear" w:color="auto" w:fill="auto"/>
            <w:noWrap/>
            <w:vAlign w:val="bottom"/>
            <w:hideMark/>
          </w:tcPr>
          <w:p w14:paraId="69C21D48" w14:textId="77777777" w:rsidR="00F865D6" w:rsidRPr="00F865D6" w:rsidRDefault="00F865D6">
            <w:pPr>
              <w:jc w:val="right"/>
              <w:rPr>
                <w:color w:val="000000"/>
                <w:sz w:val="22"/>
                <w:szCs w:val="22"/>
              </w:rPr>
            </w:pPr>
            <w:r w:rsidRPr="00F865D6">
              <w:rPr>
                <w:color w:val="000000"/>
                <w:sz w:val="22"/>
                <w:szCs w:val="22"/>
              </w:rPr>
              <w:t>-2.4</w:t>
            </w:r>
          </w:p>
        </w:tc>
      </w:tr>
      <w:tr w:rsidR="00F865D6" w:rsidRPr="00F865D6" w14:paraId="7F830CDB" w14:textId="77777777" w:rsidTr="003F59E2">
        <w:trPr>
          <w:trHeight w:val="288"/>
        </w:trPr>
        <w:tc>
          <w:tcPr>
            <w:tcW w:w="1960" w:type="dxa"/>
            <w:tcBorders>
              <w:top w:val="nil"/>
              <w:left w:val="single" w:sz="4" w:space="0" w:color="auto"/>
              <w:bottom w:val="single" w:sz="4" w:space="0" w:color="auto"/>
              <w:right w:val="single" w:sz="4" w:space="0" w:color="auto"/>
            </w:tcBorders>
            <w:shd w:val="clear" w:color="auto" w:fill="auto"/>
            <w:noWrap/>
            <w:vAlign w:val="bottom"/>
            <w:hideMark/>
          </w:tcPr>
          <w:p w14:paraId="75730EC4" w14:textId="77777777" w:rsidR="00F865D6" w:rsidRPr="00F865D6" w:rsidRDefault="00F865D6">
            <w:pPr>
              <w:rPr>
                <w:color w:val="000000"/>
                <w:sz w:val="22"/>
                <w:szCs w:val="22"/>
              </w:rPr>
            </w:pPr>
            <w:r w:rsidRPr="00F865D6">
              <w:rPr>
                <w:color w:val="000000"/>
                <w:sz w:val="22"/>
                <w:szCs w:val="22"/>
              </w:rPr>
              <w:lastRenderedPageBreak/>
              <w:t>Tea</w:t>
            </w:r>
          </w:p>
        </w:tc>
        <w:tc>
          <w:tcPr>
            <w:tcW w:w="960" w:type="dxa"/>
            <w:tcBorders>
              <w:top w:val="nil"/>
              <w:left w:val="nil"/>
              <w:bottom w:val="single" w:sz="4" w:space="0" w:color="auto"/>
              <w:right w:val="single" w:sz="4" w:space="0" w:color="auto"/>
            </w:tcBorders>
            <w:shd w:val="clear" w:color="auto" w:fill="auto"/>
            <w:noWrap/>
            <w:vAlign w:val="bottom"/>
            <w:hideMark/>
          </w:tcPr>
          <w:p w14:paraId="5A0A62D2" w14:textId="77777777" w:rsidR="00F865D6" w:rsidRPr="00F865D6" w:rsidRDefault="00F865D6">
            <w:pPr>
              <w:jc w:val="right"/>
              <w:rPr>
                <w:color w:val="000000"/>
                <w:sz w:val="22"/>
                <w:szCs w:val="22"/>
              </w:rPr>
            </w:pPr>
            <w:r w:rsidRPr="00F865D6">
              <w:rPr>
                <w:color w:val="000000"/>
                <w:sz w:val="22"/>
                <w:szCs w:val="22"/>
              </w:rPr>
              <w:t>-34.3</w:t>
            </w:r>
          </w:p>
        </w:tc>
        <w:tc>
          <w:tcPr>
            <w:tcW w:w="1520" w:type="dxa"/>
            <w:tcBorders>
              <w:top w:val="nil"/>
              <w:left w:val="nil"/>
              <w:bottom w:val="single" w:sz="4" w:space="0" w:color="auto"/>
              <w:right w:val="single" w:sz="4" w:space="0" w:color="auto"/>
            </w:tcBorders>
            <w:shd w:val="clear" w:color="auto" w:fill="auto"/>
            <w:noWrap/>
            <w:vAlign w:val="bottom"/>
            <w:hideMark/>
          </w:tcPr>
          <w:p w14:paraId="5B7E0899" w14:textId="77777777" w:rsidR="00F865D6" w:rsidRPr="00F865D6" w:rsidRDefault="00F865D6">
            <w:pPr>
              <w:jc w:val="right"/>
              <w:rPr>
                <w:color w:val="000000"/>
                <w:sz w:val="22"/>
                <w:szCs w:val="22"/>
              </w:rPr>
            </w:pPr>
            <w:r w:rsidRPr="00F865D6">
              <w:rPr>
                <w:color w:val="000000"/>
                <w:sz w:val="22"/>
                <w:szCs w:val="22"/>
              </w:rPr>
              <w:t>-42.4</w:t>
            </w:r>
          </w:p>
        </w:tc>
        <w:tc>
          <w:tcPr>
            <w:tcW w:w="1660" w:type="dxa"/>
            <w:tcBorders>
              <w:top w:val="nil"/>
              <w:left w:val="nil"/>
              <w:bottom w:val="single" w:sz="4" w:space="0" w:color="auto"/>
              <w:right w:val="single" w:sz="4" w:space="0" w:color="auto"/>
            </w:tcBorders>
            <w:shd w:val="clear" w:color="auto" w:fill="auto"/>
            <w:noWrap/>
            <w:vAlign w:val="bottom"/>
            <w:hideMark/>
          </w:tcPr>
          <w:p w14:paraId="0D1CCE85" w14:textId="77777777" w:rsidR="00F865D6" w:rsidRPr="00F865D6" w:rsidRDefault="00F865D6">
            <w:pPr>
              <w:jc w:val="right"/>
              <w:rPr>
                <w:color w:val="000000"/>
                <w:sz w:val="22"/>
                <w:szCs w:val="22"/>
              </w:rPr>
            </w:pPr>
            <w:r w:rsidRPr="00F865D6">
              <w:rPr>
                <w:color w:val="000000"/>
                <w:sz w:val="22"/>
                <w:szCs w:val="22"/>
              </w:rPr>
              <w:t>-35.3</w:t>
            </w:r>
          </w:p>
        </w:tc>
        <w:tc>
          <w:tcPr>
            <w:tcW w:w="1220" w:type="dxa"/>
            <w:tcBorders>
              <w:top w:val="nil"/>
              <w:left w:val="nil"/>
              <w:bottom w:val="single" w:sz="4" w:space="0" w:color="auto"/>
              <w:right w:val="single" w:sz="4" w:space="0" w:color="auto"/>
            </w:tcBorders>
            <w:shd w:val="clear" w:color="auto" w:fill="auto"/>
            <w:noWrap/>
            <w:vAlign w:val="bottom"/>
            <w:hideMark/>
          </w:tcPr>
          <w:p w14:paraId="252B7E3D" w14:textId="77777777" w:rsidR="00F865D6" w:rsidRPr="00F865D6" w:rsidRDefault="00F865D6">
            <w:pPr>
              <w:jc w:val="right"/>
              <w:rPr>
                <w:color w:val="000000"/>
                <w:sz w:val="22"/>
                <w:szCs w:val="22"/>
              </w:rPr>
            </w:pPr>
            <w:r w:rsidRPr="00F865D6">
              <w:rPr>
                <w:color w:val="000000"/>
                <w:sz w:val="22"/>
                <w:szCs w:val="22"/>
              </w:rPr>
              <w:t>-28.6</w:t>
            </w:r>
          </w:p>
        </w:tc>
        <w:tc>
          <w:tcPr>
            <w:tcW w:w="960" w:type="dxa"/>
            <w:tcBorders>
              <w:top w:val="nil"/>
              <w:left w:val="nil"/>
              <w:bottom w:val="single" w:sz="4" w:space="0" w:color="auto"/>
              <w:right w:val="single" w:sz="4" w:space="0" w:color="auto"/>
            </w:tcBorders>
            <w:shd w:val="clear" w:color="auto" w:fill="auto"/>
            <w:noWrap/>
            <w:vAlign w:val="bottom"/>
            <w:hideMark/>
          </w:tcPr>
          <w:p w14:paraId="1096AD4D" w14:textId="77777777" w:rsidR="00F865D6" w:rsidRPr="00F865D6" w:rsidRDefault="00F865D6">
            <w:pPr>
              <w:jc w:val="right"/>
              <w:rPr>
                <w:color w:val="000000"/>
                <w:sz w:val="22"/>
                <w:szCs w:val="22"/>
              </w:rPr>
            </w:pPr>
            <w:r w:rsidRPr="00F865D6">
              <w:rPr>
                <w:color w:val="000000"/>
                <w:sz w:val="22"/>
                <w:szCs w:val="22"/>
              </w:rPr>
              <w:t>-42.2</w:t>
            </w:r>
          </w:p>
        </w:tc>
      </w:tr>
      <w:tr w:rsidR="00F865D6" w:rsidRPr="00F865D6" w14:paraId="5F5AFB62" w14:textId="77777777" w:rsidTr="003F59E2">
        <w:trPr>
          <w:trHeight w:val="288"/>
        </w:trPr>
        <w:tc>
          <w:tcPr>
            <w:tcW w:w="1960" w:type="dxa"/>
            <w:tcBorders>
              <w:top w:val="nil"/>
              <w:left w:val="single" w:sz="4" w:space="0" w:color="auto"/>
              <w:bottom w:val="single" w:sz="4" w:space="0" w:color="auto"/>
              <w:right w:val="single" w:sz="4" w:space="0" w:color="auto"/>
            </w:tcBorders>
            <w:shd w:val="clear" w:color="auto" w:fill="auto"/>
            <w:noWrap/>
            <w:vAlign w:val="bottom"/>
            <w:hideMark/>
          </w:tcPr>
          <w:p w14:paraId="61911C00" w14:textId="77777777" w:rsidR="00F865D6" w:rsidRPr="00F865D6" w:rsidRDefault="00F865D6">
            <w:pPr>
              <w:rPr>
                <w:color w:val="000000"/>
                <w:sz w:val="22"/>
                <w:szCs w:val="22"/>
              </w:rPr>
            </w:pPr>
            <w:r w:rsidRPr="00F865D6">
              <w:rPr>
                <w:color w:val="000000"/>
                <w:sz w:val="22"/>
                <w:szCs w:val="22"/>
              </w:rPr>
              <w:t>Wheat</w:t>
            </w:r>
          </w:p>
        </w:tc>
        <w:tc>
          <w:tcPr>
            <w:tcW w:w="960" w:type="dxa"/>
            <w:tcBorders>
              <w:top w:val="nil"/>
              <w:left w:val="nil"/>
              <w:bottom w:val="single" w:sz="4" w:space="0" w:color="auto"/>
              <w:right w:val="single" w:sz="4" w:space="0" w:color="auto"/>
            </w:tcBorders>
            <w:shd w:val="clear" w:color="auto" w:fill="auto"/>
            <w:noWrap/>
            <w:vAlign w:val="bottom"/>
            <w:hideMark/>
          </w:tcPr>
          <w:p w14:paraId="16EC2251" w14:textId="77777777" w:rsidR="00F865D6" w:rsidRPr="00F865D6" w:rsidRDefault="00F865D6">
            <w:pPr>
              <w:jc w:val="right"/>
              <w:rPr>
                <w:color w:val="000000"/>
                <w:sz w:val="22"/>
                <w:szCs w:val="22"/>
              </w:rPr>
            </w:pPr>
            <w:r w:rsidRPr="00F865D6">
              <w:rPr>
                <w:color w:val="000000"/>
                <w:sz w:val="22"/>
                <w:szCs w:val="22"/>
              </w:rPr>
              <w:t>12.8</w:t>
            </w:r>
          </w:p>
        </w:tc>
        <w:tc>
          <w:tcPr>
            <w:tcW w:w="1520" w:type="dxa"/>
            <w:tcBorders>
              <w:top w:val="nil"/>
              <w:left w:val="nil"/>
              <w:bottom w:val="single" w:sz="4" w:space="0" w:color="auto"/>
              <w:right w:val="single" w:sz="4" w:space="0" w:color="auto"/>
            </w:tcBorders>
            <w:shd w:val="clear" w:color="auto" w:fill="auto"/>
            <w:noWrap/>
            <w:vAlign w:val="bottom"/>
            <w:hideMark/>
          </w:tcPr>
          <w:p w14:paraId="7BED29A1" w14:textId="77777777" w:rsidR="00F865D6" w:rsidRPr="00F865D6" w:rsidRDefault="00F865D6">
            <w:pPr>
              <w:jc w:val="right"/>
              <w:rPr>
                <w:color w:val="000000"/>
                <w:sz w:val="22"/>
                <w:szCs w:val="22"/>
              </w:rPr>
            </w:pPr>
            <w:r w:rsidRPr="00F865D6">
              <w:rPr>
                <w:color w:val="000000"/>
                <w:sz w:val="22"/>
                <w:szCs w:val="22"/>
              </w:rPr>
              <w:t>7.6</w:t>
            </w:r>
          </w:p>
        </w:tc>
        <w:tc>
          <w:tcPr>
            <w:tcW w:w="1660" w:type="dxa"/>
            <w:tcBorders>
              <w:top w:val="nil"/>
              <w:left w:val="nil"/>
              <w:bottom w:val="single" w:sz="4" w:space="0" w:color="auto"/>
              <w:right w:val="single" w:sz="4" w:space="0" w:color="auto"/>
            </w:tcBorders>
            <w:shd w:val="clear" w:color="auto" w:fill="auto"/>
            <w:noWrap/>
            <w:vAlign w:val="bottom"/>
            <w:hideMark/>
          </w:tcPr>
          <w:p w14:paraId="54630C22" w14:textId="77777777" w:rsidR="00F865D6" w:rsidRPr="00F865D6" w:rsidRDefault="00F865D6">
            <w:pPr>
              <w:jc w:val="right"/>
              <w:rPr>
                <w:color w:val="000000"/>
                <w:sz w:val="22"/>
                <w:szCs w:val="22"/>
              </w:rPr>
            </w:pPr>
            <w:r w:rsidRPr="00F865D6">
              <w:rPr>
                <w:color w:val="000000"/>
                <w:sz w:val="22"/>
                <w:szCs w:val="22"/>
              </w:rPr>
              <w:t>7.0</w:t>
            </w:r>
          </w:p>
        </w:tc>
        <w:tc>
          <w:tcPr>
            <w:tcW w:w="1220" w:type="dxa"/>
            <w:tcBorders>
              <w:top w:val="nil"/>
              <w:left w:val="nil"/>
              <w:bottom w:val="single" w:sz="4" w:space="0" w:color="auto"/>
              <w:right w:val="single" w:sz="4" w:space="0" w:color="auto"/>
            </w:tcBorders>
            <w:shd w:val="clear" w:color="auto" w:fill="auto"/>
            <w:noWrap/>
            <w:vAlign w:val="bottom"/>
            <w:hideMark/>
          </w:tcPr>
          <w:p w14:paraId="76D55DEC" w14:textId="77777777" w:rsidR="00F865D6" w:rsidRPr="00F865D6" w:rsidRDefault="00F865D6">
            <w:pPr>
              <w:jc w:val="right"/>
              <w:rPr>
                <w:color w:val="000000"/>
                <w:sz w:val="22"/>
                <w:szCs w:val="22"/>
              </w:rPr>
            </w:pPr>
            <w:r w:rsidRPr="00F865D6">
              <w:rPr>
                <w:color w:val="000000"/>
                <w:sz w:val="22"/>
                <w:szCs w:val="22"/>
              </w:rPr>
              <w:t>5.2</w:t>
            </w:r>
          </w:p>
        </w:tc>
        <w:tc>
          <w:tcPr>
            <w:tcW w:w="960" w:type="dxa"/>
            <w:tcBorders>
              <w:top w:val="nil"/>
              <w:left w:val="nil"/>
              <w:bottom w:val="single" w:sz="4" w:space="0" w:color="auto"/>
              <w:right w:val="single" w:sz="4" w:space="0" w:color="auto"/>
            </w:tcBorders>
            <w:shd w:val="clear" w:color="auto" w:fill="auto"/>
            <w:noWrap/>
            <w:vAlign w:val="bottom"/>
            <w:hideMark/>
          </w:tcPr>
          <w:p w14:paraId="72812450" w14:textId="77777777" w:rsidR="00F865D6" w:rsidRPr="00F865D6" w:rsidRDefault="00F865D6">
            <w:pPr>
              <w:jc w:val="right"/>
              <w:rPr>
                <w:color w:val="000000"/>
                <w:sz w:val="22"/>
                <w:szCs w:val="22"/>
              </w:rPr>
            </w:pPr>
            <w:r w:rsidRPr="00F865D6">
              <w:rPr>
                <w:color w:val="000000"/>
                <w:sz w:val="22"/>
                <w:szCs w:val="22"/>
              </w:rPr>
              <w:t>2.5</w:t>
            </w:r>
          </w:p>
        </w:tc>
      </w:tr>
    </w:tbl>
    <w:p w14:paraId="25A76D10" w14:textId="22860A97" w:rsidR="00131247" w:rsidRDefault="00131247" w:rsidP="00EB5617">
      <w:pPr>
        <w:spacing w:after="120" w:line="360" w:lineRule="auto"/>
      </w:pPr>
      <w:r w:rsidRPr="009E1FFC">
        <w:rPr>
          <w:bCs/>
        </w:rPr>
        <w:t xml:space="preserve">Source: </w:t>
      </w:r>
      <w:proofErr w:type="spellStart"/>
      <w:r w:rsidRPr="009E1FFC">
        <w:rPr>
          <w:bCs/>
        </w:rPr>
        <w:t>Ag</w:t>
      </w:r>
      <w:r w:rsidR="004E29F3">
        <w:rPr>
          <w:bCs/>
        </w:rPr>
        <w:t>I</w:t>
      </w:r>
      <w:r w:rsidRPr="009E1FFC">
        <w:rPr>
          <w:bCs/>
        </w:rPr>
        <w:t>ncentives</w:t>
      </w:r>
      <w:proofErr w:type="spellEnd"/>
      <w:r w:rsidRPr="009E1FFC">
        <w:rPr>
          <w:bCs/>
        </w:rPr>
        <w:t xml:space="preserve"> database</w:t>
      </w:r>
    </w:p>
    <w:p w14:paraId="51C6D80B" w14:textId="0B5109F8" w:rsidR="000F0944" w:rsidRDefault="00681D22" w:rsidP="00131247">
      <w:pPr>
        <w:spacing w:after="120" w:line="360" w:lineRule="auto"/>
        <w:ind w:firstLine="720"/>
      </w:pPr>
      <w:r>
        <w:t>Summary measures for the key components of the NRA presented in Figure 5 show that the largest single component of the total NRA is generally the market price support represented by the upper, patterned section of the graph. However, as we have seen, this component is very volatile, varying with the level of agricultural commodity prices</w:t>
      </w:r>
      <w:r w:rsidR="00342B09">
        <w:t xml:space="preserve">—a variation that greatly increases the volatility of global agricultural prices (Martin and Minot 2022). By contrast, the other elements of the overall NRA—payments to output and payments based on other triggers such as historical planting levels—are far less volatile as a share of the value of agricultural output. </w:t>
      </w:r>
    </w:p>
    <w:p w14:paraId="776A4927" w14:textId="77777777" w:rsidR="005311A8" w:rsidRDefault="005311A8" w:rsidP="005311A8">
      <w:pPr>
        <w:spacing w:after="120" w:line="360" w:lineRule="auto"/>
        <w:ind w:firstLine="720"/>
      </w:pPr>
    </w:p>
    <w:p w14:paraId="4C1A98BC" w14:textId="3E4599F1" w:rsidR="00E71644" w:rsidRDefault="002616D2" w:rsidP="00524866">
      <w:pPr>
        <w:spacing w:after="120"/>
      </w:pPr>
      <w:r>
        <w:rPr>
          <w:noProof/>
        </w:rPr>
        <w:drawing>
          <wp:inline distT="0" distB="0" distL="0" distR="0" wp14:anchorId="0F2F8D4B" wp14:editId="467B32DA">
            <wp:extent cx="6120130" cy="3568700"/>
            <wp:effectExtent l="0" t="0" r="13970" b="12700"/>
            <wp:docPr id="6" name="Chart 6">
              <a:extLst xmlns:a="http://schemas.openxmlformats.org/drawingml/2006/main">
                <a:ext uri="{FF2B5EF4-FFF2-40B4-BE49-F238E27FC236}">
                  <a16:creationId xmlns:a16="http://schemas.microsoft.com/office/drawing/2014/main" id="{C88B0FD3-59B8-FDBC-7745-D17FBB40DFCD}"/>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14:paraId="5FC31758" w14:textId="7F15C5D5" w:rsidR="00342B09" w:rsidRPr="00E3177B" w:rsidRDefault="00342B09">
      <w:pPr>
        <w:rPr>
          <w:b/>
        </w:rPr>
      </w:pPr>
      <w:r w:rsidRPr="00E3177B">
        <w:rPr>
          <w:b/>
        </w:rPr>
        <w:t>Figure 5. Components of Total NRA as a share of Agricultural Output Value %.</w:t>
      </w:r>
    </w:p>
    <w:p w14:paraId="45F19D67" w14:textId="3EF8162B" w:rsidR="00342B09" w:rsidRPr="00E3177B" w:rsidRDefault="005311A8">
      <w:pPr>
        <w:rPr>
          <w:b/>
        </w:rPr>
      </w:pPr>
      <w:r w:rsidRPr="00613FC1">
        <w:rPr>
          <w:bCs/>
        </w:rPr>
        <w:t xml:space="preserve">Source: </w:t>
      </w:r>
      <w:proofErr w:type="spellStart"/>
      <w:r w:rsidRPr="00613FC1">
        <w:rPr>
          <w:bCs/>
        </w:rPr>
        <w:t>Ag</w:t>
      </w:r>
      <w:r w:rsidR="004E29F3">
        <w:rPr>
          <w:bCs/>
        </w:rPr>
        <w:t>I</w:t>
      </w:r>
      <w:r w:rsidRPr="00613FC1">
        <w:rPr>
          <w:bCs/>
        </w:rPr>
        <w:t>ncentives</w:t>
      </w:r>
      <w:proofErr w:type="spellEnd"/>
      <w:r w:rsidRPr="00613FC1">
        <w:rPr>
          <w:bCs/>
        </w:rPr>
        <w:t xml:space="preserve"> database</w:t>
      </w:r>
    </w:p>
    <w:p w14:paraId="3F619223" w14:textId="50D63D11" w:rsidR="00A8449A" w:rsidRPr="00E3177B" w:rsidRDefault="00A8449A">
      <w:pPr>
        <w:rPr>
          <w:b/>
        </w:rPr>
      </w:pPr>
      <w:r w:rsidRPr="00E3177B">
        <w:rPr>
          <w:b/>
        </w:rPr>
        <w:br w:type="page"/>
      </w:r>
    </w:p>
    <w:p w14:paraId="1D300EED" w14:textId="568B079B" w:rsidR="00E47075" w:rsidRDefault="00AF01FE" w:rsidP="00DA3B61">
      <w:pPr>
        <w:spacing w:after="120"/>
      </w:pPr>
      <w:r>
        <w:rPr>
          <w:b/>
          <w:sz w:val="28"/>
          <w:szCs w:val="28"/>
        </w:rPr>
        <w:lastRenderedPageBreak/>
        <w:t>6</w:t>
      </w:r>
      <w:r w:rsidR="000437E8">
        <w:rPr>
          <w:b/>
          <w:sz w:val="28"/>
          <w:szCs w:val="28"/>
        </w:rPr>
        <w:t>. Conclusions</w:t>
      </w:r>
    </w:p>
    <w:p w14:paraId="57B96C25" w14:textId="77777777" w:rsidR="00DA3B61" w:rsidRDefault="00E47075" w:rsidP="002B2CFF">
      <w:pPr>
        <w:tabs>
          <w:tab w:val="left" w:pos="547"/>
        </w:tabs>
        <w:spacing w:after="120"/>
      </w:pPr>
      <w:r>
        <w:tab/>
      </w:r>
    </w:p>
    <w:p w14:paraId="7F769D4E" w14:textId="247BCF54" w:rsidR="0048012E" w:rsidRDefault="00AF7E60" w:rsidP="00A8449A">
      <w:pPr>
        <w:tabs>
          <w:tab w:val="left" w:pos="547"/>
        </w:tabs>
        <w:spacing w:after="120" w:line="360" w:lineRule="auto"/>
      </w:pPr>
      <w:r>
        <w:t xml:space="preserve">The </w:t>
      </w:r>
      <w:r w:rsidR="00A026C4">
        <w:t>Ag</w:t>
      </w:r>
      <w:r>
        <w:t>ricultural</w:t>
      </w:r>
      <w:r w:rsidR="00A026C4">
        <w:t xml:space="preserve"> Incentives Consortium </w:t>
      </w:r>
      <w:r w:rsidR="00E47075">
        <w:t xml:space="preserve">is </w:t>
      </w:r>
      <w:r w:rsidR="0001170D">
        <w:t xml:space="preserve">a broad collaborative effort on part of multiple IOs to create </w:t>
      </w:r>
      <w:r w:rsidR="0001170D" w:rsidRPr="001006F6">
        <w:t xml:space="preserve">a </w:t>
      </w:r>
      <w:r w:rsidR="0001170D">
        <w:t>common set of indicators that measure distortions to agricultural incentives</w:t>
      </w:r>
      <w:r w:rsidR="0001170D" w:rsidRPr="001006F6">
        <w:t xml:space="preserve">, with a focus on prices. </w:t>
      </w:r>
      <w:r w:rsidR="0001170D">
        <w:t xml:space="preserve">The Consortium also </w:t>
      </w:r>
      <w:r w:rsidR="0048012E">
        <w:t xml:space="preserve">aims to create </w:t>
      </w:r>
      <w:r w:rsidR="00A8449A">
        <w:t>a community of practice that can help exchange ideas and information between organizations</w:t>
      </w:r>
      <w:r w:rsidR="0048012E" w:rsidRPr="001006F6">
        <w:t>.</w:t>
      </w:r>
      <w:r w:rsidR="00A8449A">
        <w:t xml:space="preserve"> </w:t>
      </w:r>
    </w:p>
    <w:p w14:paraId="047DBFB0" w14:textId="3CE25B31" w:rsidR="000B63CE" w:rsidRDefault="0048012E" w:rsidP="00A8449A">
      <w:pPr>
        <w:tabs>
          <w:tab w:val="left" w:pos="547"/>
        </w:tabs>
        <w:spacing w:after="120" w:line="360" w:lineRule="auto"/>
        <w:ind w:firstLine="547"/>
      </w:pPr>
      <w:r>
        <w:t>The initial output of the Consortium</w:t>
      </w:r>
      <w:r w:rsidR="00AD358C">
        <w:t xml:space="preserve"> is </w:t>
      </w:r>
      <w:r w:rsidR="00A8449A">
        <w:t xml:space="preserve">to provide </w:t>
      </w:r>
      <w:r w:rsidR="00AD358C">
        <w:t xml:space="preserve">a global data set of </w:t>
      </w:r>
      <w:r w:rsidR="00E47075">
        <w:t>NRPs</w:t>
      </w:r>
      <w:r>
        <w:t xml:space="preserve"> </w:t>
      </w:r>
      <w:r w:rsidR="00E47075">
        <w:t>based on combined IO data</w:t>
      </w:r>
      <w:r w:rsidR="00AD358C">
        <w:t xml:space="preserve">. This paper presents </w:t>
      </w:r>
      <w:r w:rsidR="000B63CE" w:rsidRPr="000B63CE">
        <w:t xml:space="preserve">NRPs based on, but not limited to, the </w:t>
      </w:r>
      <w:proofErr w:type="spellStart"/>
      <w:r w:rsidR="000B63CE" w:rsidRPr="000B63CE">
        <w:t>AgIncentives</w:t>
      </w:r>
      <w:proofErr w:type="spellEnd"/>
      <w:r w:rsidR="000B63CE" w:rsidRPr="000B63CE">
        <w:t xml:space="preserve"> Consortium efforts</w:t>
      </w:r>
      <w:r w:rsidR="000B63CE" w:rsidRPr="00461150">
        <w:t xml:space="preserve">. </w:t>
      </w:r>
      <w:r w:rsidR="000B63CE" w:rsidRPr="00E3177B">
        <w:t xml:space="preserve">The results show that global </w:t>
      </w:r>
      <w:r w:rsidR="009D1527" w:rsidRPr="00E3177B">
        <w:t xml:space="preserve">average NRP moves in </w:t>
      </w:r>
      <w:r w:rsidR="00AF7E60" w:rsidRPr="00E3177B">
        <w:t xml:space="preserve">the </w:t>
      </w:r>
      <w:r w:rsidR="009D1527" w:rsidRPr="00E3177B">
        <w:t xml:space="preserve">opposite direction </w:t>
      </w:r>
      <w:r w:rsidR="00AF7E60" w:rsidRPr="00E3177B">
        <w:t>to the global</w:t>
      </w:r>
      <w:r w:rsidR="009D1527" w:rsidRPr="00E3177B">
        <w:t xml:space="preserve"> Food Price index, </w:t>
      </w:r>
      <w:r w:rsidR="00A8449A" w:rsidRPr="00E3177B">
        <w:t xml:space="preserve">suggesting that government policies, on average, </w:t>
      </w:r>
      <w:r w:rsidR="009D1527" w:rsidRPr="00E3177B">
        <w:t xml:space="preserve">reacted to food price crises of 2008 and </w:t>
      </w:r>
      <w:r w:rsidR="00C24EB1" w:rsidRPr="00E3177B">
        <w:t>2011</w:t>
      </w:r>
      <w:r w:rsidR="009D1527" w:rsidRPr="00E3177B">
        <w:t>.</w:t>
      </w:r>
      <w:r w:rsidR="009D1527" w:rsidRPr="00461150">
        <w:t xml:space="preserve"> Furthermore</w:t>
      </w:r>
      <w:r w:rsidR="009D1527">
        <w:t xml:space="preserve">, </w:t>
      </w:r>
      <w:r w:rsidR="00A8449A">
        <w:t xml:space="preserve">it shows that </w:t>
      </w:r>
      <w:r w:rsidR="009D1527">
        <w:t xml:space="preserve">trends </w:t>
      </w:r>
      <w:r w:rsidR="00A8449A">
        <w:t xml:space="preserve">in </w:t>
      </w:r>
      <w:r w:rsidR="009D1527">
        <w:t>NRPs differ</w:t>
      </w:r>
      <w:r w:rsidR="00A8449A">
        <w:t>ed</w:t>
      </w:r>
      <w:r w:rsidR="009D1527">
        <w:t xml:space="preserve"> by income category, with </w:t>
      </w:r>
      <w:r w:rsidR="008B5A8A">
        <w:t>high</w:t>
      </w:r>
      <w:r w:rsidR="004C5DAB">
        <w:t xml:space="preserve"> </w:t>
      </w:r>
      <w:r w:rsidR="008B5A8A">
        <w:t>income</w:t>
      </w:r>
      <w:r w:rsidR="009D1527">
        <w:t xml:space="preserve"> countries lowering protection of producers, and </w:t>
      </w:r>
      <w:proofErr w:type="gramStart"/>
      <w:r w:rsidR="008B5A8A">
        <w:t>middle</w:t>
      </w:r>
      <w:r w:rsidR="004C5DAB">
        <w:t xml:space="preserve"> </w:t>
      </w:r>
      <w:r w:rsidR="008B5A8A">
        <w:t>income</w:t>
      </w:r>
      <w:proofErr w:type="gramEnd"/>
      <w:r w:rsidR="009D1527">
        <w:t xml:space="preserve"> countries increasing protection. </w:t>
      </w:r>
      <w:r w:rsidR="00C537E2">
        <w:t xml:space="preserve">There is significant variation </w:t>
      </w:r>
      <w:r w:rsidR="00DA3B61">
        <w:t xml:space="preserve">in average agricultural sector NRPs </w:t>
      </w:r>
      <w:r w:rsidR="00C537E2">
        <w:t xml:space="preserve">for </w:t>
      </w:r>
      <w:r w:rsidR="008B5A8A">
        <w:t>l</w:t>
      </w:r>
      <w:r w:rsidR="00C537E2">
        <w:t>ow</w:t>
      </w:r>
      <w:r w:rsidR="00AB566B">
        <w:t>-</w:t>
      </w:r>
      <w:r w:rsidR="008B5A8A">
        <w:t>i</w:t>
      </w:r>
      <w:r w:rsidR="00C537E2">
        <w:t xml:space="preserve">ncome countries, </w:t>
      </w:r>
      <w:r w:rsidR="00A8449A">
        <w:t>which are now</w:t>
      </w:r>
      <w:r w:rsidR="00C537E2">
        <w:t xml:space="preserve"> mostly </w:t>
      </w:r>
      <w:r w:rsidR="00A8449A">
        <w:t>in</w:t>
      </w:r>
      <w:r w:rsidR="00C537E2">
        <w:t xml:space="preserve"> Africa.</w:t>
      </w:r>
    </w:p>
    <w:p w14:paraId="1775E8C9" w14:textId="75F56512" w:rsidR="00BC0E3B" w:rsidRDefault="00BC0E3B" w:rsidP="00A8449A">
      <w:pPr>
        <w:tabs>
          <w:tab w:val="left" w:pos="547"/>
        </w:tabs>
        <w:spacing w:after="120" w:line="360" w:lineRule="auto"/>
        <w:ind w:firstLine="547"/>
      </w:pPr>
      <w:r>
        <w:t xml:space="preserve">The 2023 update of the </w:t>
      </w:r>
      <w:proofErr w:type="spellStart"/>
      <w:r>
        <w:t>AgIncentives</w:t>
      </w:r>
      <w:proofErr w:type="spellEnd"/>
      <w:r>
        <w:t xml:space="preserve"> database extends both the length of time for which </w:t>
      </w:r>
      <w:r w:rsidR="00681D22">
        <w:t xml:space="preserve">measures of support are available and the range of measures available. </w:t>
      </w:r>
      <w:r w:rsidR="00342B09">
        <w:t xml:space="preserve">The extension from NRP measures alone to a set of Nominal Rate of Assistance (NRA) measures provides a much broader view of the extent and nature of global agricultural assistance than was previously available. </w:t>
      </w:r>
    </w:p>
    <w:p w14:paraId="672F6A46" w14:textId="0A674BFE" w:rsidR="00C542E0" w:rsidRDefault="00C537E2" w:rsidP="00A8449A">
      <w:pPr>
        <w:spacing w:after="120" w:line="360" w:lineRule="auto"/>
        <w:ind w:firstLine="547"/>
      </w:pPr>
      <w:r>
        <w:t xml:space="preserve">One aim of this exercise </w:t>
      </w:r>
      <w:r w:rsidR="00A8449A">
        <w:t>i</w:t>
      </w:r>
      <w:r>
        <w:t>s</w:t>
      </w:r>
      <w:r w:rsidR="00E47075">
        <w:t xml:space="preserve"> </w:t>
      </w:r>
      <w:r w:rsidR="0048012E">
        <w:t xml:space="preserve">to </w:t>
      </w:r>
      <w:r w:rsidR="00E47075">
        <w:t xml:space="preserve">provide </w:t>
      </w:r>
      <w:r w:rsidR="001A70DB">
        <w:t>a unified measurement of distortions by agr</w:t>
      </w:r>
      <w:r w:rsidR="00E47075">
        <w:t xml:space="preserve">icultural </w:t>
      </w:r>
      <w:r w:rsidR="001A70DB">
        <w:t xml:space="preserve">policies for a wide audience </w:t>
      </w:r>
      <w:r w:rsidR="00E47075">
        <w:t xml:space="preserve">of </w:t>
      </w:r>
      <w:r w:rsidR="001A70DB">
        <w:t>academic</w:t>
      </w:r>
      <w:r w:rsidR="00E47075">
        <w:t xml:space="preserve">s </w:t>
      </w:r>
      <w:r w:rsidR="001A70DB">
        <w:t>and non-academi</w:t>
      </w:r>
      <w:r w:rsidR="00E47075">
        <w:t>cs. This type of unified approach would h</w:t>
      </w:r>
      <w:r w:rsidR="001A70DB">
        <w:t>elp gov</w:t>
      </w:r>
      <w:r w:rsidR="00E47075">
        <w:t>ernments d</w:t>
      </w:r>
      <w:r w:rsidR="001A70DB">
        <w:t>esign policies and measure them effectively</w:t>
      </w:r>
      <w:r w:rsidR="0048012E">
        <w:t>. The global NRP</w:t>
      </w:r>
      <w:r w:rsidR="004E29F3">
        <w:t xml:space="preserve"> and NRA measure</w:t>
      </w:r>
      <w:r w:rsidR="0048012E">
        <w:t xml:space="preserve">s rely on </w:t>
      </w:r>
      <w:r w:rsidR="00FF0028">
        <w:t xml:space="preserve">the same </w:t>
      </w:r>
      <w:r w:rsidR="001A70DB">
        <w:t>methodology</w:t>
      </w:r>
      <w:r w:rsidR="00FF0028">
        <w:t>, utilizing each IO database</w:t>
      </w:r>
      <w:r>
        <w:t>, in a consistent manner</w:t>
      </w:r>
      <w:r w:rsidR="00E47075">
        <w:t>.</w:t>
      </w:r>
      <w:r w:rsidR="001A70DB">
        <w:t xml:space="preserve"> </w:t>
      </w:r>
      <w:r w:rsidR="002B2CFF">
        <w:t>They provide continuous and consistent measurement across a wide sectoral and geographical coverage, allowing stakeholders interpret the implications of agricultural policy design</w:t>
      </w:r>
      <w:r>
        <w:t xml:space="preserve"> in an effective manner.</w:t>
      </w:r>
      <w:r w:rsidR="00A8449A">
        <w:t xml:space="preserve"> We look forward to comments and feedback that can help improve the value of the information provided.</w:t>
      </w:r>
    </w:p>
    <w:p w14:paraId="1BB19C73" w14:textId="77777777" w:rsidR="00C542E0" w:rsidRDefault="00C542E0">
      <w:r>
        <w:br w:type="page"/>
      </w:r>
    </w:p>
    <w:p w14:paraId="424DC5BB" w14:textId="3CA77A4A" w:rsidR="003F59E2" w:rsidRDefault="00C542E0" w:rsidP="003F59E2">
      <w:pPr>
        <w:pStyle w:val="Heading1"/>
        <w:ind w:left="432"/>
        <w:jc w:val="center"/>
        <w:rPr>
          <w:rFonts w:ascii="Times New Roman" w:hAnsi="Times New Roman"/>
        </w:rPr>
      </w:pPr>
      <w:bookmarkStart w:id="2" w:name="_Toc110427321"/>
      <w:r w:rsidRPr="00EB5617">
        <w:rPr>
          <w:rFonts w:ascii="Times New Roman" w:hAnsi="Times New Roman"/>
        </w:rPr>
        <w:lastRenderedPageBreak/>
        <w:t>Appendix</w:t>
      </w:r>
    </w:p>
    <w:p w14:paraId="22780EE6" w14:textId="46D3B183" w:rsidR="00C542E0" w:rsidRPr="00EB5617" w:rsidRDefault="00C542E0" w:rsidP="003F59E2">
      <w:pPr>
        <w:pStyle w:val="Heading1"/>
        <w:ind w:left="432"/>
        <w:jc w:val="center"/>
        <w:rPr>
          <w:rFonts w:ascii="Times New Roman" w:hAnsi="Times New Roman"/>
        </w:rPr>
      </w:pPr>
      <w:r w:rsidRPr="00EB5617">
        <w:rPr>
          <w:rFonts w:ascii="Times New Roman" w:hAnsi="Times New Roman"/>
        </w:rPr>
        <w:t xml:space="preserve">Building an </w:t>
      </w:r>
      <w:proofErr w:type="spellStart"/>
      <w:r w:rsidRPr="00EB5617">
        <w:rPr>
          <w:rFonts w:ascii="Times New Roman" w:hAnsi="Times New Roman"/>
        </w:rPr>
        <w:t>AgIncentives</w:t>
      </w:r>
      <w:proofErr w:type="spellEnd"/>
      <w:r w:rsidRPr="00EB5617">
        <w:rPr>
          <w:rFonts w:ascii="Times New Roman" w:hAnsi="Times New Roman"/>
        </w:rPr>
        <w:t xml:space="preserve"> </w:t>
      </w:r>
      <w:r w:rsidR="00342B09" w:rsidRPr="00EB5617">
        <w:rPr>
          <w:rFonts w:ascii="Times New Roman" w:hAnsi="Times New Roman"/>
        </w:rPr>
        <w:t>R</w:t>
      </w:r>
      <w:r w:rsidRPr="00EB5617">
        <w:rPr>
          <w:rFonts w:ascii="Times New Roman" w:hAnsi="Times New Roman"/>
        </w:rPr>
        <w:t>elease</w:t>
      </w:r>
      <w:bookmarkEnd w:id="2"/>
    </w:p>
    <w:p w14:paraId="139A0C69" w14:textId="77777777" w:rsidR="00342B09" w:rsidRPr="00B31447" w:rsidRDefault="00342B09" w:rsidP="00C542E0"/>
    <w:p w14:paraId="72E04D3E" w14:textId="669D97C1" w:rsidR="00C542E0" w:rsidRPr="00B31447" w:rsidRDefault="00342B09" w:rsidP="00EB5617">
      <w:pPr>
        <w:spacing w:line="360" w:lineRule="auto"/>
      </w:pPr>
      <w:r w:rsidRPr="00B31447">
        <w:t>The process</w:t>
      </w:r>
      <w:r w:rsidR="00C542E0" w:rsidRPr="00B31447">
        <w:t xml:space="preserve"> of building a new </w:t>
      </w:r>
      <w:proofErr w:type="spellStart"/>
      <w:r w:rsidR="00C542E0" w:rsidRPr="00B31447">
        <w:t>AgIncentives</w:t>
      </w:r>
      <w:proofErr w:type="spellEnd"/>
      <w:r w:rsidR="00C542E0" w:rsidRPr="00B31447">
        <w:t xml:space="preserve"> release</w:t>
      </w:r>
      <w:r w:rsidRPr="00B31447">
        <w:t>,</w:t>
      </w:r>
      <w:r w:rsidR="00C542E0" w:rsidRPr="00B31447">
        <w:t xml:space="preserve"> as represented by </w:t>
      </w:r>
      <w:r w:rsidR="00C542E0" w:rsidRPr="00B31447">
        <w:fldChar w:fldCharType="begin"/>
      </w:r>
      <w:r w:rsidR="00C542E0" w:rsidRPr="00B31447">
        <w:instrText xml:space="preserve"> REF _Ref87869665 \h </w:instrText>
      </w:r>
      <w:r w:rsidR="00B31447">
        <w:instrText xml:space="preserve"> \* MERGEFORMAT </w:instrText>
      </w:r>
      <w:r w:rsidR="00C542E0" w:rsidRPr="00B31447">
        <w:fldChar w:fldCharType="separate"/>
      </w:r>
      <w:r w:rsidR="00C542E0" w:rsidRPr="00B31447">
        <w:t xml:space="preserve">Figure </w:t>
      </w:r>
      <w:r w:rsidR="00C542E0" w:rsidRPr="00B31447">
        <w:rPr>
          <w:noProof/>
        </w:rPr>
        <w:t>1</w:t>
      </w:r>
      <w:r w:rsidR="00C542E0" w:rsidRPr="00B31447">
        <w:fldChar w:fldCharType="end"/>
      </w:r>
      <w:r w:rsidRPr="00B31447">
        <w:t>, involves the following five steps</w:t>
      </w:r>
      <w:r w:rsidR="00C542E0" w:rsidRPr="00B31447">
        <w:t>.</w:t>
      </w:r>
    </w:p>
    <w:p w14:paraId="22002C80" w14:textId="0AB7E03D" w:rsidR="00C542E0" w:rsidRPr="00EB5617" w:rsidRDefault="00C542E0" w:rsidP="00EB5617">
      <w:pPr>
        <w:pStyle w:val="Heading2"/>
        <w:spacing w:line="360" w:lineRule="auto"/>
        <w:ind w:left="360"/>
        <w:rPr>
          <w:rFonts w:ascii="Times New Roman" w:hAnsi="Times New Roman" w:cs="Times New Roman"/>
        </w:rPr>
      </w:pPr>
      <w:bookmarkStart w:id="3" w:name="_Toc110427322"/>
      <w:r w:rsidRPr="00EB5617">
        <w:rPr>
          <w:rFonts w:ascii="Times New Roman" w:hAnsi="Times New Roman" w:cs="Times New Roman"/>
        </w:rPr>
        <w:t xml:space="preserve">1 Review and processing of source data received from </w:t>
      </w:r>
      <w:bookmarkEnd w:id="3"/>
      <w:r w:rsidR="00342B09" w:rsidRPr="00EB5617">
        <w:rPr>
          <w:rFonts w:ascii="Times New Roman" w:hAnsi="Times New Roman" w:cs="Times New Roman"/>
        </w:rPr>
        <w:t>Consortium Members.</w:t>
      </w:r>
    </w:p>
    <w:p w14:paraId="7BB7F068" w14:textId="68D51109" w:rsidR="00C542E0" w:rsidRPr="00B31447" w:rsidRDefault="00C542E0" w:rsidP="00EB5617">
      <w:pPr>
        <w:spacing w:line="360" w:lineRule="auto"/>
      </w:pPr>
      <w:r w:rsidRPr="00B31447">
        <w:t>Upon receiving source or raw data a</w:t>
      </w:r>
      <w:r w:rsidR="00342B09" w:rsidRPr="00B31447">
        <w:t>nd</w:t>
      </w:r>
      <w:r w:rsidRPr="00B31447">
        <w:t xml:space="preserve"> documentation files from </w:t>
      </w:r>
      <w:r w:rsidR="00342B09" w:rsidRPr="00B31447">
        <w:t xml:space="preserve">Consortium members, </w:t>
      </w:r>
      <w:r w:rsidRPr="00B31447">
        <w:t>the raw data files and the documentation accompanying them</w:t>
      </w:r>
      <w:r w:rsidR="00342B09" w:rsidRPr="00B31447">
        <w:t xml:space="preserve"> are reviewed</w:t>
      </w:r>
      <w:r w:rsidRPr="00B31447">
        <w:t xml:space="preserve">. This determines the next steps– starting with updating </w:t>
      </w:r>
      <w:r w:rsidR="00342B09" w:rsidRPr="00B31447">
        <w:t xml:space="preserve">the </w:t>
      </w:r>
      <w:r w:rsidRPr="00B31447">
        <w:t xml:space="preserve">commodity mapping file, downloading value of production </w:t>
      </w:r>
      <w:r w:rsidR="00342B09" w:rsidRPr="00B31447">
        <w:t>data</w:t>
      </w:r>
      <w:r w:rsidRPr="00B31447">
        <w:t xml:space="preserve"> from </w:t>
      </w:r>
      <w:r w:rsidR="00342B09" w:rsidRPr="00B31447">
        <w:t xml:space="preserve">the Consortium and, where necessary, from </w:t>
      </w:r>
      <w:r w:rsidRPr="00B31447">
        <w:t xml:space="preserve">FAOSTAT. </w:t>
      </w:r>
      <w:r w:rsidR="00342B09" w:rsidRPr="00B31447">
        <w:t>The b</w:t>
      </w:r>
      <w:r w:rsidRPr="00B31447">
        <w:t xml:space="preserve">ulk of the data processing is done in Python. </w:t>
      </w:r>
      <w:r w:rsidR="00342B09" w:rsidRPr="00B31447">
        <w:t xml:space="preserve">Consistent Python programs have been developed for </w:t>
      </w:r>
      <w:r w:rsidRPr="00B31447">
        <w:t xml:space="preserve">each </w:t>
      </w:r>
      <w:r w:rsidR="00342B09" w:rsidRPr="00B31447">
        <w:t>data supplier</w:t>
      </w:r>
      <w:r w:rsidRPr="00B31447">
        <w:t xml:space="preserve"> and </w:t>
      </w:r>
      <w:r w:rsidR="00342B09" w:rsidRPr="00B31447">
        <w:t xml:space="preserve">are </w:t>
      </w:r>
      <w:r w:rsidRPr="00B31447">
        <w:t>update</w:t>
      </w:r>
      <w:r w:rsidR="00342B09" w:rsidRPr="00B31447">
        <w:t>d as new data arrive.</w:t>
      </w:r>
      <w:r w:rsidRPr="00B31447">
        <w:t xml:space="preserve">  </w:t>
      </w:r>
    </w:p>
    <w:p w14:paraId="5A8EB1AD" w14:textId="7A3A39C1" w:rsidR="00C542E0" w:rsidRPr="00B31447" w:rsidRDefault="00C542E0" w:rsidP="00EB5617">
      <w:pPr>
        <w:spacing w:line="360" w:lineRule="auto"/>
      </w:pPr>
      <w:r w:rsidRPr="00B31447">
        <w:t>Data processing in Python takes several steps – plugging in raw data, extracting exchange rates, mapping commodities to standard nomenclature, generating set</w:t>
      </w:r>
      <w:r w:rsidR="00342B09" w:rsidRPr="00B31447">
        <w:t>s</w:t>
      </w:r>
      <w:r w:rsidRPr="00B31447">
        <w:t xml:space="preserve"> of columns with dimension country, commodity and year and finally producing data in a standard format. In the process</w:t>
      </w:r>
      <w:r w:rsidR="00204E19">
        <w:t>,</w:t>
      </w:r>
      <w:r w:rsidRPr="00B31447">
        <w:t xml:space="preserve"> </w:t>
      </w:r>
      <w:r w:rsidR="00342B09" w:rsidRPr="00B31447">
        <w:t>the data are checked</w:t>
      </w:r>
      <w:r w:rsidRPr="00B31447">
        <w:t xml:space="preserve"> for missing information, outliers</w:t>
      </w:r>
      <w:r w:rsidR="00204E19">
        <w:t>,</w:t>
      </w:r>
      <w:r w:rsidRPr="00B31447">
        <w:t xml:space="preserve"> and other consistencies. </w:t>
      </w:r>
    </w:p>
    <w:p w14:paraId="2F432944" w14:textId="5B09B126" w:rsidR="00C542E0" w:rsidRPr="00EB5617" w:rsidRDefault="00C542E0" w:rsidP="00EB5617">
      <w:pPr>
        <w:pStyle w:val="Heading2"/>
        <w:spacing w:line="360" w:lineRule="auto"/>
        <w:ind w:left="360"/>
        <w:rPr>
          <w:rFonts w:ascii="Times New Roman" w:hAnsi="Times New Roman" w:cs="Times New Roman"/>
        </w:rPr>
      </w:pPr>
      <w:bookmarkStart w:id="4" w:name="_Toc110427323"/>
      <w:r w:rsidRPr="00EB5617">
        <w:rPr>
          <w:rFonts w:ascii="Times New Roman" w:hAnsi="Times New Roman" w:cs="Times New Roman"/>
        </w:rPr>
        <w:t xml:space="preserve">2 Work on consolidating </w:t>
      </w:r>
      <w:r w:rsidR="00342B09" w:rsidRPr="00EB5617">
        <w:rPr>
          <w:rFonts w:ascii="Times New Roman" w:hAnsi="Times New Roman" w:cs="Times New Roman"/>
        </w:rPr>
        <w:t xml:space="preserve">the </w:t>
      </w:r>
      <w:r w:rsidRPr="00EB5617">
        <w:rPr>
          <w:rFonts w:ascii="Times New Roman" w:hAnsi="Times New Roman" w:cs="Times New Roman"/>
        </w:rPr>
        <w:t xml:space="preserve">database in R, aggregation and producing </w:t>
      </w:r>
      <w:proofErr w:type="gramStart"/>
      <w:r w:rsidRPr="00EB5617">
        <w:rPr>
          <w:rFonts w:ascii="Times New Roman" w:hAnsi="Times New Roman" w:cs="Times New Roman"/>
        </w:rPr>
        <w:t>indicators</w:t>
      </w:r>
      <w:bookmarkEnd w:id="4"/>
      <w:proofErr w:type="gramEnd"/>
      <w:r w:rsidRPr="00EB5617">
        <w:rPr>
          <w:rFonts w:ascii="Times New Roman" w:hAnsi="Times New Roman" w:cs="Times New Roman"/>
        </w:rPr>
        <w:t xml:space="preserve">  </w:t>
      </w:r>
    </w:p>
    <w:p w14:paraId="3E92F35D" w14:textId="3689BC3B" w:rsidR="00C542E0" w:rsidRPr="00B31447" w:rsidRDefault="00C542E0" w:rsidP="00EB5617">
      <w:pPr>
        <w:spacing w:line="360" w:lineRule="auto"/>
      </w:pPr>
      <w:r w:rsidRPr="00B31447">
        <w:t xml:space="preserve">Following the first stage of data processing </w:t>
      </w:r>
      <w:r w:rsidR="001B6CEB" w:rsidRPr="00B31447">
        <w:t>to the data are</w:t>
      </w:r>
      <w:r w:rsidRPr="00B31447">
        <w:t xml:space="preserve"> consolidate</w:t>
      </w:r>
      <w:r w:rsidR="001B6CEB" w:rsidRPr="00B31447">
        <w:t>d</w:t>
      </w:r>
      <w:r w:rsidRPr="00B31447">
        <w:t xml:space="preserve"> and put in </w:t>
      </w:r>
      <w:r w:rsidR="00EB5617">
        <w:t>a consolidated</w:t>
      </w:r>
      <w:r w:rsidRPr="00B31447">
        <w:t xml:space="preserve"> data file </w:t>
      </w:r>
      <w:r w:rsidR="00BE0E97">
        <w:t xml:space="preserve">for all countries </w:t>
      </w:r>
      <w:r w:rsidR="001B6CEB" w:rsidRPr="00B31447">
        <w:t>used to process the data and generate</w:t>
      </w:r>
      <w:r w:rsidRPr="00B31447">
        <w:t xml:space="preserve"> the final set of indicators. </w:t>
      </w:r>
      <w:r w:rsidR="001B6CEB" w:rsidRPr="00B31447">
        <w:t>Standardized</w:t>
      </w:r>
      <w:r w:rsidRPr="00B31447">
        <w:t xml:space="preserve"> R </w:t>
      </w:r>
      <w:r w:rsidR="001B6CEB" w:rsidRPr="00B31447">
        <w:t xml:space="preserve">programs are used to develop the </w:t>
      </w:r>
      <w:r w:rsidRPr="00B31447">
        <w:t xml:space="preserve">indicators, both at aggregate and disaggregate level. </w:t>
      </w:r>
      <w:r w:rsidR="001B6CEB" w:rsidRPr="00B31447">
        <w:t>Q</w:t>
      </w:r>
      <w:r w:rsidRPr="00B31447">
        <w:t xml:space="preserve">uality control </w:t>
      </w:r>
      <w:r w:rsidR="001B6CEB" w:rsidRPr="00B31447">
        <w:t>is important at this stage, to</w:t>
      </w:r>
      <w:r w:rsidRPr="00B31447">
        <w:t xml:space="preserve"> identify for duplication of data, mismatch between commodities and nomenclature, missing producer and reference price data, monetary unit</w:t>
      </w:r>
      <w:r w:rsidR="00204E19">
        <w:t>,</w:t>
      </w:r>
      <w:r w:rsidRPr="00B31447">
        <w:t xml:space="preserve"> and notes columns. </w:t>
      </w:r>
    </w:p>
    <w:p w14:paraId="268F1293" w14:textId="0461F752" w:rsidR="00C542E0" w:rsidRPr="00B31447" w:rsidRDefault="00C542E0" w:rsidP="00EB5617">
      <w:pPr>
        <w:spacing w:line="360" w:lineRule="auto"/>
      </w:pPr>
      <w:r w:rsidRPr="00B31447">
        <w:t xml:space="preserve">At the final stage, </w:t>
      </w:r>
      <w:r w:rsidR="001B6CEB" w:rsidRPr="00B31447">
        <w:t xml:space="preserve">NRP and other </w:t>
      </w:r>
      <w:r w:rsidRPr="00B31447">
        <w:t xml:space="preserve">NRA </w:t>
      </w:r>
      <w:r w:rsidR="001B6CEB" w:rsidRPr="00B31447">
        <w:t xml:space="preserve">measures are computed </w:t>
      </w:r>
      <w:r w:rsidRPr="00B31447">
        <w:t>by country, commodity</w:t>
      </w:r>
      <w:r w:rsidR="00204E19">
        <w:t>,</w:t>
      </w:r>
      <w:r w:rsidRPr="00B31447">
        <w:t xml:space="preserve"> and year </w:t>
      </w:r>
      <w:r w:rsidR="001B6CEB" w:rsidRPr="00B31447">
        <w:t>and at key levels of aggregation</w:t>
      </w:r>
      <w:r w:rsidRPr="00B31447">
        <w:t xml:space="preserve">. </w:t>
      </w:r>
    </w:p>
    <w:p w14:paraId="59C8586F" w14:textId="529606A3" w:rsidR="00C542E0" w:rsidRPr="00EB5617" w:rsidRDefault="00C542E0" w:rsidP="00EB5617">
      <w:pPr>
        <w:pStyle w:val="Heading2"/>
        <w:spacing w:line="360" w:lineRule="auto"/>
        <w:ind w:left="360"/>
        <w:rPr>
          <w:rFonts w:ascii="Times New Roman" w:hAnsi="Times New Roman" w:cs="Times New Roman"/>
        </w:rPr>
      </w:pPr>
      <w:bookmarkStart w:id="5" w:name="_Toc110427324"/>
      <w:r w:rsidRPr="00EB5617">
        <w:rPr>
          <w:rFonts w:ascii="Times New Roman" w:hAnsi="Times New Roman" w:cs="Times New Roman"/>
        </w:rPr>
        <w:t>3 Review of NRA/NRP indicators and quality control, internally and by I</w:t>
      </w:r>
      <w:r w:rsidR="008B09F5">
        <w:rPr>
          <w:rFonts w:ascii="Times New Roman" w:hAnsi="Times New Roman" w:cs="Times New Roman"/>
        </w:rPr>
        <w:t>O</w:t>
      </w:r>
      <w:r w:rsidRPr="00EB5617">
        <w:rPr>
          <w:rFonts w:ascii="Times New Roman" w:hAnsi="Times New Roman" w:cs="Times New Roman"/>
        </w:rPr>
        <w:t>s</w:t>
      </w:r>
      <w:bookmarkEnd w:id="5"/>
      <w:r w:rsidRPr="00EB5617">
        <w:rPr>
          <w:rFonts w:ascii="Times New Roman" w:hAnsi="Times New Roman" w:cs="Times New Roman"/>
        </w:rPr>
        <w:t xml:space="preserve"> </w:t>
      </w:r>
    </w:p>
    <w:p w14:paraId="75F57BA7" w14:textId="4D6FEEE1" w:rsidR="00C542E0" w:rsidRPr="00B31447" w:rsidRDefault="00C542E0" w:rsidP="00EB5617">
      <w:pPr>
        <w:spacing w:line="360" w:lineRule="auto"/>
      </w:pPr>
      <w:r w:rsidRPr="00B31447">
        <w:t xml:space="preserve">This is the final step towards producing a consistent and reliable database on NRA and/or NRP. </w:t>
      </w:r>
      <w:r w:rsidR="001B6CEB" w:rsidRPr="00B31447">
        <w:t>A key element of the</w:t>
      </w:r>
      <w:r w:rsidRPr="00B31447">
        <w:t xml:space="preserve"> review process on the indicators </w:t>
      </w:r>
      <w:r w:rsidR="001B6CEB" w:rsidRPr="00B31447">
        <w:t>is examination of</w:t>
      </w:r>
      <w:r w:rsidRPr="00B31447">
        <w:t xml:space="preserve"> the graphs of the indicators at </w:t>
      </w:r>
      <w:r w:rsidR="001B6CEB" w:rsidRPr="00B31447">
        <w:t>different levels of aggregation</w:t>
      </w:r>
      <w:r w:rsidR="008B09F5">
        <w:t xml:space="preserve"> </w:t>
      </w:r>
      <w:r w:rsidRPr="00B31447">
        <w:t xml:space="preserve">- by economic, geographic and product groups and </w:t>
      </w:r>
      <w:r w:rsidR="001B6CEB" w:rsidRPr="00B31447">
        <w:t xml:space="preserve">through </w:t>
      </w:r>
      <w:r w:rsidRPr="00B31447">
        <w:t>compar</w:t>
      </w:r>
      <w:r w:rsidR="001B6CEB" w:rsidRPr="00B31447">
        <w:t>ison</w:t>
      </w:r>
      <w:r w:rsidRPr="00B31447">
        <w:t xml:space="preserve"> with the release of previous rounds of data. </w:t>
      </w:r>
    </w:p>
    <w:p w14:paraId="6595B3FF" w14:textId="3A1D4B86" w:rsidR="00C542E0" w:rsidRPr="00B31447" w:rsidRDefault="001B6CEB" w:rsidP="00EB5617">
      <w:pPr>
        <w:spacing w:line="360" w:lineRule="auto"/>
      </w:pPr>
      <w:r w:rsidRPr="00B31447">
        <w:t>Data are then returned to the Member Organizations</w:t>
      </w:r>
      <w:r w:rsidR="00C542E0" w:rsidRPr="00B31447">
        <w:t xml:space="preserve"> to seek comments, inputs and/or</w:t>
      </w:r>
      <w:r w:rsidRPr="00B31447">
        <w:t xml:space="preserve"> suggestions for </w:t>
      </w:r>
      <w:r w:rsidR="00C542E0" w:rsidRPr="00B31447">
        <w:t>fixes</w:t>
      </w:r>
      <w:r w:rsidR="00A44995">
        <w:t xml:space="preserve">. </w:t>
      </w:r>
      <w:r w:rsidR="00C542E0" w:rsidRPr="00B31447">
        <w:t xml:space="preserve"> </w:t>
      </w:r>
    </w:p>
    <w:p w14:paraId="3B272111" w14:textId="6C9CDCBE" w:rsidR="00C542E0" w:rsidRPr="00EB5617" w:rsidRDefault="00C542E0" w:rsidP="00EB5617">
      <w:pPr>
        <w:pStyle w:val="Heading2"/>
        <w:spacing w:line="360" w:lineRule="auto"/>
        <w:ind w:left="360"/>
        <w:rPr>
          <w:rFonts w:ascii="Times New Roman" w:hAnsi="Times New Roman" w:cs="Times New Roman"/>
        </w:rPr>
      </w:pPr>
      <w:bookmarkStart w:id="6" w:name="_Toc110427325"/>
      <w:r w:rsidRPr="00EB5617">
        <w:rPr>
          <w:rFonts w:ascii="Times New Roman" w:hAnsi="Times New Roman" w:cs="Times New Roman"/>
        </w:rPr>
        <w:lastRenderedPageBreak/>
        <w:t>4 Visualization in Tableau</w:t>
      </w:r>
      <w:bookmarkEnd w:id="6"/>
      <w:r w:rsidR="00654F39" w:rsidRPr="00EB5617">
        <w:rPr>
          <w:rFonts w:ascii="Times New Roman" w:hAnsi="Times New Roman" w:cs="Times New Roman"/>
        </w:rPr>
        <w:t>/R</w:t>
      </w:r>
      <w:r w:rsidR="00B66838" w:rsidRPr="00EB5617">
        <w:rPr>
          <w:rFonts w:ascii="Times New Roman" w:hAnsi="Times New Roman" w:cs="Times New Roman"/>
        </w:rPr>
        <w:t>-</w:t>
      </w:r>
      <w:r w:rsidR="00654F39" w:rsidRPr="00EB5617">
        <w:rPr>
          <w:rFonts w:ascii="Times New Roman" w:hAnsi="Times New Roman" w:cs="Times New Roman"/>
        </w:rPr>
        <w:t xml:space="preserve">Shiny </w:t>
      </w:r>
      <w:r w:rsidRPr="00EB5617">
        <w:rPr>
          <w:rFonts w:ascii="Times New Roman" w:hAnsi="Times New Roman" w:cs="Times New Roman"/>
        </w:rPr>
        <w:t xml:space="preserve"> </w:t>
      </w:r>
    </w:p>
    <w:p w14:paraId="672C6470" w14:textId="24830BBF" w:rsidR="00C542E0" w:rsidRPr="00B31447" w:rsidRDefault="00C542E0" w:rsidP="00EB5617">
      <w:pPr>
        <w:spacing w:line="360" w:lineRule="auto"/>
      </w:pPr>
      <w:r w:rsidRPr="00B31447">
        <w:t xml:space="preserve">Once </w:t>
      </w:r>
      <w:r w:rsidR="001B6CEB" w:rsidRPr="00B31447">
        <w:t xml:space="preserve">Consortium Members are </w:t>
      </w:r>
      <w:r w:rsidR="00A44995">
        <w:t>satisfied</w:t>
      </w:r>
      <w:r w:rsidR="00A44995" w:rsidRPr="00B31447">
        <w:t xml:space="preserve"> </w:t>
      </w:r>
      <w:r w:rsidR="001B6CEB" w:rsidRPr="00B31447">
        <w:t>with the measures generated from their inputs,</w:t>
      </w:r>
      <w:r w:rsidRPr="00B31447">
        <w:t xml:space="preserve"> </w:t>
      </w:r>
      <w:r w:rsidR="009D34FC" w:rsidRPr="00B31447">
        <w:t xml:space="preserve">currently </w:t>
      </w:r>
      <w:r w:rsidR="001B6CEB" w:rsidRPr="00B31447">
        <w:t>Tableau is used to provide visualizations of</w:t>
      </w:r>
      <w:r w:rsidRPr="00B31447">
        <w:t xml:space="preserve"> the dataset </w:t>
      </w:r>
      <w:r w:rsidR="001B6CEB" w:rsidRPr="00B31447">
        <w:t>along</w:t>
      </w:r>
      <w:r w:rsidR="00EB5617">
        <w:t xml:space="preserve"> </w:t>
      </w:r>
      <w:r w:rsidRPr="00B31447">
        <w:t xml:space="preserve">country, product (individual and broad group), economic classification and geographic regions. </w:t>
      </w:r>
      <w:r w:rsidR="009D34FC" w:rsidRPr="00B31447">
        <w:t xml:space="preserve">Our goal is to develop R-Shiny app for visualization of NRA data in the future iteration. </w:t>
      </w:r>
    </w:p>
    <w:p w14:paraId="2D15FFAB" w14:textId="32D74F6B" w:rsidR="00C542E0" w:rsidRPr="00EB5617" w:rsidRDefault="00C542E0" w:rsidP="00EB5617">
      <w:pPr>
        <w:pStyle w:val="Heading2"/>
        <w:spacing w:line="360" w:lineRule="auto"/>
        <w:ind w:left="450"/>
        <w:rPr>
          <w:rFonts w:ascii="Times New Roman" w:hAnsi="Times New Roman" w:cs="Times New Roman"/>
        </w:rPr>
      </w:pPr>
      <w:bookmarkStart w:id="7" w:name="_Toc110427326"/>
      <w:r w:rsidRPr="00EB5617">
        <w:rPr>
          <w:rFonts w:ascii="Times New Roman" w:hAnsi="Times New Roman" w:cs="Times New Roman"/>
        </w:rPr>
        <w:t>5 Release of database in the Ag-Incentives website</w:t>
      </w:r>
      <w:bookmarkEnd w:id="7"/>
      <w:r w:rsidRPr="00EB5617">
        <w:rPr>
          <w:rFonts w:ascii="Times New Roman" w:hAnsi="Times New Roman" w:cs="Times New Roman"/>
        </w:rPr>
        <w:t xml:space="preserve"> </w:t>
      </w:r>
    </w:p>
    <w:p w14:paraId="3FFE1AF0" w14:textId="5266771A" w:rsidR="00C542E0" w:rsidRPr="00B31447" w:rsidRDefault="001B6CEB" w:rsidP="00EB5617">
      <w:pPr>
        <w:spacing w:line="360" w:lineRule="auto"/>
      </w:pPr>
      <w:r w:rsidRPr="00B31447">
        <w:t>Release</w:t>
      </w:r>
      <w:r w:rsidR="00C542E0" w:rsidRPr="00B31447">
        <w:t xml:space="preserve"> of</w:t>
      </w:r>
      <w:r w:rsidRPr="00B31447">
        <w:t xml:space="preserve"> the</w:t>
      </w:r>
      <w:r w:rsidR="00C542E0" w:rsidRPr="00B31447">
        <w:t xml:space="preserve"> NRA/NRP database takes place when </w:t>
      </w:r>
      <w:r w:rsidRPr="00B31447">
        <w:t>the data have been scrutinized and visualizations are available</w:t>
      </w:r>
      <w:r w:rsidR="00C542E0" w:rsidRPr="00B31447">
        <w:t xml:space="preserve">. Access to </w:t>
      </w:r>
      <w:r w:rsidRPr="00B31447">
        <w:t xml:space="preserve">full </w:t>
      </w:r>
      <w:r w:rsidR="00C542E0" w:rsidRPr="00B31447">
        <w:t xml:space="preserve">database is </w:t>
      </w:r>
      <w:r w:rsidRPr="00B31447">
        <w:t xml:space="preserve">available through the website, as </w:t>
      </w:r>
      <w:r w:rsidR="00E56E45" w:rsidRPr="00B31447">
        <w:t>well as standard visualizations</w:t>
      </w:r>
      <w:r w:rsidR="00C542E0" w:rsidRPr="00B31447">
        <w:t>.</w:t>
      </w:r>
    </w:p>
    <w:p w14:paraId="1DD401CD" w14:textId="77777777" w:rsidR="000437E8" w:rsidRDefault="000437E8" w:rsidP="00342B09">
      <w:pPr>
        <w:spacing w:after="120" w:line="360" w:lineRule="auto"/>
        <w:ind w:firstLine="547"/>
      </w:pPr>
    </w:p>
    <w:p w14:paraId="210CE722" w14:textId="77777777" w:rsidR="001969D7" w:rsidRPr="000437E8" w:rsidRDefault="001969D7" w:rsidP="00EB5617">
      <w:pPr>
        <w:spacing w:after="120" w:line="360" w:lineRule="auto"/>
      </w:pPr>
    </w:p>
    <w:p w14:paraId="070BC5D1" w14:textId="77777777" w:rsidR="00D40B34" w:rsidRPr="00A22A80" w:rsidRDefault="00CA1528" w:rsidP="00EB5617">
      <w:pPr>
        <w:spacing w:after="120" w:line="360" w:lineRule="auto"/>
        <w:rPr>
          <w:sz w:val="20"/>
          <w:szCs w:val="20"/>
          <w:lang w:val="en-US"/>
        </w:rPr>
      </w:pPr>
      <w:r>
        <w:rPr>
          <w:b/>
          <w:sz w:val="28"/>
          <w:szCs w:val="28"/>
        </w:rPr>
        <w:br w:type="page"/>
      </w:r>
      <w:r w:rsidR="009140CC" w:rsidRPr="00C92D75">
        <w:rPr>
          <w:b/>
          <w:sz w:val="28"/>
          <w:szCs w:val="28"/>
        </w:rPr>
        <w:lastRenderedPageBreak/>
        <w:t>REFERENCES</w:t>
      </w:r>
    </w:p>
    <w:p w14:paraId="69B09AD2" w14:textId="77777777" w:rsidR="00524866" w:rsidRPr="00D40B34" w:rsidRDefault="00524866" w:rsidP="00524866">
      <w:pPr>
        <w:spacing w:after="120"/>
        <w:rPr>
          <w:lang w:val="en-US"/>
        </w:rPr>
      </w:pPr>
    </w:p>
    <w:p w14:paraId="37305776" w14:textId="77777777" w:rsidR="00A8449A" w:rsidRDefault="00A8449A" w:rsidP="00A8449A">
      <w:pPr>
        <w:ind w:left="720" w:hanging="720"/>
      </w:pPr>
      <w:r>
        <w:t xml:space="preserve">Anderson, K. (1995), ‘Lobbying Incentives and the Pattern of Protection in Rich and Poor Countries’ </w:t>
      </w:r>
      <w:r>
        <w:rPr>
          <w:i/>
        </w:rPr>
        <w:t xml:space="preserve">Economic Development and Cultural Change </w:t>
      </w:r>
      <w:r>
        <w:t>43(2): 401-23.</w:t>
      </w:r>
    </w:p>
    <w:p w14:paraId="5498164B" w14:textId="77777777" w:rsidR="00A8449A" w:rsidRDefault="00A8449A" w:rsidP="00A8449A">
      <w:pPr>
        <w:ind w:left="720" w:hanging="720"/>
      </w:pPr>
    </w:p>
    <w:p w14:paraId="699C1F93" w14:textId="77777777" w:rsidR="00851139" w:rsidRDefault="00851139" w:rsidP="003D5A80">
      <w:pPr>
        <w:spacing w:after="160"/>
        <w:ind w:left="720" w:hanging="720"/>
      </w:pPr>
      <w:r>
        <w:t xml:space="preserve">Anderson, K., Kurzweil, M. Martin, W., Sandri, D. and Valenzuela, E. (2008), ‘Measuring distortions to agricultural incentives, revisited’ </w:t>
      </w:r>
      <w:r w:rsidRPr="00B27A12">
        <w:rPr>
          <w:i/>
          <w:iCs/>
        </w:rPr>
        <w:t>World Trade</w:t>
      </w:r>
      <w:r>
        <w:rPr>
          <w:i/>
          <w:iCs/>
        </w:rPr>
        <w:t xml:space="preserve"> </w:t>
      </w:r>
      <w:r w:rsidRPr="00B27A12">
        <w:rPr>
          <w:i/>
          <w:iCs/>
        </w:rPr>
        <w:t>Review</w:t>
      </w:r>
      <w:r>
        <w:t xml:space="preserve"> 7(3): 675-704. </w:t>
      </w:r>
    </w:p>
    <w:p w14:paraId="25742C8F" w14:textId="77777777" w:rsidR="00E8446D" w:rsidRDefault="00E8446D" w:rsidP="003D5A80">
      <w:pPr>
        <w:spacing w:after="160"/>
        <w:ind w:left="274" w:hanging="274"/>
      </w:pPr>
      <w:r>
        <w:t xml:space="preserve">FAO (1973), Agricultural Protection: Domestic Policy and </w:t>
      </w:r>
      <w:proofErr w:type="spellStart"/>
      <w:r>
        <w:t>lnternational</w:t>
      </w:r>
      <w:proofErr w:type="spellEnd"/>
      <w:r>
        <w:t xml:space="preserve"> Trade (C/73/LIM/9), Rome </w:t>
      </w:r>
    </w:p>
    <w:p w14:paraId="047EF0F8" w14:textId="18A650F3" w:rsidR="006D39EE" w:rsidRDefault="006D39EE" w:rsidP="003D5A80">
      <w:pPr>
        <w:spacing w:after="160"/>
        <w:ind w:left="274" w:hanging="274"/>
      </w:pPr>
      <w:r>
        <w:t xml:space="preserve">FAO (2022). World Food Price Index. FAO, Rome. </w:t>
      </w:r>
      <w:r w:rsidRPr="006D39EE">
        <w:t>https://www.fao.org/worldfoodsituation/foodpricesindex/en/</w:t>
      </w:r>
    </w:p>
    <w:p w14:paraId="74DE41D6" w14:textId="440B6719" w:rsidR="00575C6D" w:rsidRDefault="00575C6D" w:rsidP="003D5A80">
      <w:pPr>
        <w:spacing w:after="160"/>
        <w:ind w:left="274" w:hanging="274"/>
      </w:pPr>
      <w:r>
        <w:t>IDB-</w:t>
      </w:r>
      <w:proofErr w:type="spellStart"/>
      <w:r>
        <w:t>A</w:t>
      </w:r>
      <w:r w:rsidR="00980267">
        <w:t>grimonitor</w:t>
      </w:r>
      <w:proofErr w:type="spellEnd"/>
      <w:r w:rsidR="00980267">
        <w:t xml:space="preserve"> (2016) </w:t>
      </w:r>
      <w:r w:rsidR="00980267" w:rsidRPr="00980267">
        <w:t>PSE Agricultural Policy Monitoring System</w:t>
      </w:r>
      <w:r w:rsidR="00980267">
        <w:t>, &lt;</w:t>
      </w:r>
      <w:r w:rsidR="00980267" w:rsidRPr="00980267">
        <w:t>http://www.iadb.org/en/topics/agriculture/agrimonitor/agrimonitor-pse-agricultural-policy-monitoring-system,8025.html</w:t>
      </w:r>
      <w:r w:rsidR="00980267">
        <w:t>&gt;, Inter-American Development Bank, Washington, DC.</w:t>
      </w:r>
    </w:p>
    <w:p w14:paraId="0D90B16C" w14:textId="77777777" w:rsidR="00CC0324" w:rsidRDefault="00CC0324" w:rsidP="003D5A80">
      <w:pPr>
        <w:spacing w:after="160"/>
        <w:ind w:left="274" w:hanging="274"/>
      </w:pPr>
      <w:r>
        <w:t xml:space="preserve">Krueger A. O., Schiff M., Valdes A. (1988) Agricultural Incentives in Developing Countries: Measuring the Effect of Sectoral and Economywide Policies, </w:t>
      </w:r>
      <w:r w:rsidRPr="00CC0324">
        <w:rPr>
          <w:i/>
        </w:rPr>
        <w:t>T</w:t>
      </w:r>
      <w:r>
        <w:rPr>
          <w:i/>
        </w:rPr>
        <w:t xml:space="preserve">he World Bank Economic Review, </w:t>
      </w:r>
      <w:r>
        <w:t xml:space="preserve">2 (3), 255-271. </w:t>
      </w:r>
    </w:p>
    <w:p w14:paraId="02F32752" w14:textId="77777777" w:rsidR="00575C6D" w:rsidRDefault="00575C6D" w:rsidP="003D5A80">
      <w:pPr>
        <w:spacing w:after="160"/>
        <w:ind w:left="274" w:hanging="274"/>
      </w:pPr>
      <w:r>
        <w:t>MAFAP (2016) Monitoring and Analysing Food and Agricultural Policies, &lt;</w:t>
      </w:r>
      <w:r w:rsidRPr="00575C6D">
        <w:t xml:space="preserve"> http://www.fao.org/in-action/mafap/home/en/</w:t>
      </w:r>
      <w:r>
        <w:t>&gt; FAO</w:t>
      </w:r>
      <w:r w:rsidR="00980267">
        <w:t>, Rome.</w:t>
      </w:r>
      <w:r>
        <w:t xml:space="preserve">  </w:t>
      </w:r>
    </w:p>
    <w:p w14:paraId="55DAC04D" w14:textId="7688282A" w:rsidR="00A34E01" w:rsidRDefault="00A34E01" w:rsidP="00A34E01">
      <w:pPr>
        <w:tabs>
          <w:tab w:val="left" w:pos="0"/>
          <w:tab w:val="left" w:pos="720"/>
          <w:tab w:val="left" w:pos="3600"/>
          <w:tab w:val="left" w:pos="7200"/>
          <w:tab w:val="left" w:pos="7920"/>
          <w:tab w:val="left" w:pos="8640"/>
          <w:tab w:val="left" w:pos="8928"/>
        </w:tabs>
        <w:ind w:left="720" w:hanging="720"/>
      </w:pPr>
      <w:r>
        <w:t>Martin, W. and Minot, N. (2022), ‘</w:t>
      </w:r>
      <w:r w:rsidRPr="00305CE7">
        <w:t>The Impacts of Price Insulation on World Wheat Markets during the 2022 Food Price Crisis</w:t>
      </w:r>
      <w:r>
        <w:t xml:space="preserve">’ </w:t>
      </w:r>
      <w:r w:rsidRPr="00305CE7">
        <w:rPr>
          <w:i/>
          <w:iCs/>
        </w:rPr>
        <w:t>Australian Journal of Agricultural and Resource Economics</w:t>
      </w:r>
      <w:r>
        <w:t xml:space="preserve"> </w:t>
      </w:r>
      <w:r w:rsidRPr="002B5F2A">
        <w:t xml:space="preserve">66:753–774. </w:t>
      </w:r>
    </w:p>
    <w:p w14:paraId="79E27709" w14:textId="00765278" w:rsidR="00C92E19" w:rsidRDefault="00C92E19" w:rsidP="003D5A80">
      <w:pPr>
        <w:spacing w:after="160"/>
        <w:ind w:left="274" w:hanging="274"/>
      </w:pPr>
      <w:r>
        <w:t xml:space="preserve">OECD (2016) OECD’s Producer Support Estimate and Related Measures of Agricultural Support: The PSE Manual, OECD, Paris. </w:t>
      </w:r>
      <w:r w:rsidRPr="00C92E19">
        <w:t>https://www.oecd.org/agriculture/topics/agricultural-policy-monitoring-and-evaluation/documents/producer-support-estimates-manual.pdf</w:t>
      </w:r>
    </w:p>
    <w:p w14:paraId="45383946" w14:textId="3CE65B6C" w:rsidR="00EE55EC" w:rsidRDefault="00EE55EC" w:rsidP="003D5A80">
      <w:pPr>
        <w:spacing w:after="160"/>
        <w:ind w:left="274" w:hanging="274"/>
      </w:pPr>
      <w:r>
        <w:t>OECD (</w:t>
      </w:r>
      <w:r w:rsidR="00C92E19">
        <w:t>2022</w:t>
      </w:r>
      <w:r>
        <w:t xml:space="preserve">) Agricultural Policy Monitoring and Evaluation </w:t>
      </w:r>
      <w:r w:rsidR="00C92E19">
        <w:t>2022</w:t>
      </w:r>
      <w:r>
        <w:t xml:space="preserve">, OECD Publishing, Paris </w:t>
      </w:r>
      <w:proofErr w:type="gramStart"/>
      <w:r w:rsidR="00C92E19" w:rsidRPr="00C92E19">
        <w:t>https://www.oecd.org/publications/agricultural-policy-monitoring-and-evaluation-22217371.htm</w:t>
      </w:r>
      <w:proofErr w:type="gramEnd"/>
    </w:p>
    <w:p w14:paraId="18FA0D06" w14:textId="77777777" w:rsidR="00575C6D" w:rsidRDefault="00575C6D" w:rsidP="003D5A80">
      <w:pPr>
        <w:spacing w:after="160"/>
        <w:ind w:left="274" w:hanging="274"/>
      </w:pPr>
    </w:p>
    <w:p w14:paraId="4BD25A73" w14:textId="77777777" w:rsidR="00867080" w:rsidRDefault="00867080" w:rsidP="003D5A80">
      <w:pPr>
        <w:autoSpaceDE w:val="0"/>
        <w:autoSpaceDN w:val="0"/>
        <w:adjustRightInd w:val="0"/>
        <w:spacing w:before="240" w:after="160"/>
        <w:outlineLvl w:val="5"/>
      </w:pPr>
    </w:p>
    <w:p w14:paraId="5FE4BB40" w14:textId="77777777" w:rsidR="00715812" w:rsidRDefault="00715812" w:rsidP="00373AB3">
      <w:pPr>
        <w:tabs>
          <w:tab w:val="left" w:pos="540"/>
        </w:tabs>
      </w:pPr>
    </w:p>
    <w:sectPr w:rsidR="00715812" w:rsidSect="003D5A80">
      <w:footerReference w:type="default" r:id="rId21"/>
      <w:pgSz w:w="11906" w:h="16838" w:code="9"/>
      <w:pgMar w:top="1134" w:right="1134" w:bottom="1134" w:left="1134" w:header="709" w:footer="709" w:gutter="454"/>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6AFE1C" w14:textId="77777777" w:rsidR="00F96D81" w:rsidRDefault="00F96D81" w:rsidP="003E2655">
      <w:r>
        <w:separator/>
      </w:r>
    </w:p>
  </w:endnote>
  <w:endnote w:type="continuationSeparator" w:id="0">
    <w:p w14:paraId="18F227C8" w14:textId="77777777" w:rsidR="00F96D81" w:rsidRDefault="00F96D81" w:rsidP="003E26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5859F7" w14:textId="77777777" w:rsidR="008D26DB" w:rsidRDefault="008D26DB">
    <w:pPr>
      <w:pStyle w:val="Footer"/>
      <w:jc w:val="center"/>
    </w:pPr>
    <w:r>
      <w:fldChar w:fldCharType="begin"/>
    </w:r>
    <w:r>
      <w:instrText xml:space="preserve"> PAGE   \* MERGEFORMAT </w:instrText>
    </w:r>
    <w:r>
      <w:fldChar w:fldCharType="separate"/>
    </w:r>
    <w:r w:rsidR="00CC7D1C">
      <w:rPr>
        <w:noProof/>
      </w:rPr>
      <w:t>11</w:t>
    </w:r>
    <w:r>
      <w:rPr>
        <w:noProof/>
      </w:rPr>
      <w:fldChar w:fldCharType="end"/>
    </w:r>
  </w:p>
  <w:p w14:paraId="01802037" w14:textId="77777777" w:rsidR="008D26DB" w:rsidRDefault="008D26D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8973D3" w14:textId="77777777" w:rsidR="00F96D81" w:rsidRDefault="00F96D81" w:rsidP="003E2655">
      <w:r>
        <w:separator/>
      </w:r>
    </w:p>
  </w:footnote>
  <w:footnote w:type="continuationSeparator" w:id="0">
    <w:p w14:paraId="294E5D6E" w14:textId="77777777" w:rsidR="00F96D81" w:rsidRDefault="00F96D81" w:rsidP="003E265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463F02"/>
    <w:multiLevelType w:val="hybridMultilevel"/>
    <w:tmpl w:val="9F3086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97A24B1"/>
    <w:multiLevelType w:val="hybridMultilevel"/>
    <w:tmpl w:val="882A1E08"/>
    <w:lvl w:ilvl="0" w:tplc="086C900E">
      <w:start w:val="1"/>
      <w:numFmt w:val="bullet"/>
      <w:lvlText w:val="­"/>
      <w:lvlJc w:val="left"/>
      <w:pPr>
        <w:ind w:left="720" w:hanging="360"/>
      </w:pPr>
      <w:rPr>
        <w:rFonts w:ascii="Courier New" w:hAnsi="Courier New" w:hint="default"/>
        <w:b w:val="0"/>
        <w:i w:val="0"/>
        <w:sz w:val="16"/>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7B6D461E"/>
    <w:multiLevelType w:val="hybridMultilevel"/>
    <w:tmpl w:val="457C19F8"/>
    <w:lvl w:ilvl="0" w:tplc="086C900E">
      <w:start w:val="1"/>
      <w:numFmt w:val="bullet"/>
      <w:lvlText w:val="­"/>
      <w:lvlJc w:val="left"/>
      <w:pPr>
        <w:ind w:left="1429" w:hanging="360"/>
      </w:pPr>
      <w:rPr>
        <w:rFonts w:ascii="Courier New" w:hAnsi="Courier New"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num w:numId="1" w16cid:durableId="1717390269">
    <w:abstractNumId w:val="2"/>
  </w:num>
  <w:num w:numId="2" w16cid:durableId="1932664954">
    <w:abstractNumId w:val="1"/>
  </w:num>
  <w:num w:numId="3" w16cid:durableId="133897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gutterAtTop/>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90"/>
  <w:displayHorizontalDrawingGridEvery w:val="2"/>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7255"/>
    <w:rsid w:val="000024AD"/>
    <w:rsid w:val="00002787"/>
    <w:rsid w:val="00003FA9"/>
    <w:rsid w:val="000068DD"/>
    <w:rsid w:val="00007D3E"/>
    <w:rsid w:val="0001170D"/>
    <w:rsid w:val="00012D92"/>
    <w:rsid w:val="00013F26"/>
    <w:rsid w:val="00030EE3"/>
    <w:rsid w:val="00040B4E"/>
    <w:rsid w:val="000437E8"/>
    <w:rsid w:val="00044D30"/>
    <w:rsid w:val="00045B74"/>
    <w:rsid w:val="000550F2"/>
    <w:rsid w:val="000658EE"/>
    <w:rsid w:val="000674DB"/>
    <w:rsid w:val="000839E1"/>
    <w:rsid w:val="00084222"/>
    <w:rsid w:val="00091842"/>
    <w:rsid w:val="00091DFA"/>
    <w:rsid w:val="000B2205"/>
    <w:rsid w:val="000B3D28"/>
    <w:rsid w:val="000B63CE"/>
    <w:rsid w:val="000C1261"/>
    <w:rsid w:val="000C31C3"/>
    <w:rsid w:val="000C4F2C"/>
    <w:rsid w:val="000D03FC"/>
    <w:rsid w:val="000F0944"/>
    <w:rsid w:val="000F3BDD"/>
    <w:rsid w:val="00111CC7"/>
    <w:rsid w:val="00117D9A"/>
    <w:rsid w:val="00131247"/>
    <w:rsid w:val="00137892"/>
    <w:rsid w:val="00140F08"/>
    <w:rsid w:val="001575E9"/>
    <w:rsid w:val="00157E71"/>
    <w:rsid w:val="00163AB1"/>
    <w:rsid w:val="001641D5"/>
    <w:rsid w:val="001649BD"/>
    <w:rsid w:val="00167BB7"/>
    <w:rsid w:val="00171864"/>
    <w:rsid w:val="00175930"/>
    <w:rsid w:val="00185997"/>
    <w:rsid w:val="0018622D"/>
    <w:rsid w:val="00190A64"/>
    <w:rsid w:val="001969D7"/>
    <w:rsid w:val="001A2852"/>
    <w:rsid w:val="001A5F16"/>
    <w:rsid w:val="001A680C"/>
    <w:rsid w:val="001A70DB"/>
    <w:rsid w:val="001B0604"/>
    <w:rsid w:val="001B261C"/>
    <w:rsid w:val="001B6C3C"/>
    <w:rsid w:val="001B6CEB"/>
    <w:rsid w:val="001C0587"/>
    <w:rsid w:val="001C18ED"/>
    <w:rsid w:val="001C29EA"/>
    <w:rsid w:val="001D2CFA"/>
    <w:rsid w:val="001E0AA9"/>
    <w:rsid w:val="001E2E5F"/>
    <w:rsid w:val="001F1506"/>
    <w:rsid w:val="00204E19"/>
    <w:rsid w:val="002218F2"/>
    <w:rsid w:val="0022265A"/>
    <w:rsid w:val="00225808"/>
    <w:rsid w:val="00234F51"/>
    <w:rsid w:val="00236D5A"/>
    <w:rsid w:val="002420F1"/>
    <w:rsid w:val="00251C4B"/>
    <w:rsid w:val="002616D2"/>
    <w:rsid w:val="00263D76"/>
    <w:rsid w:val="00265BCB"/>
    <w:rsid w:val="00273953"/>
    <w:rsid w:val="0028156E"/>
    <w:rsid w:val="00283F2A"/>
    <w:rsid w:val="00294E69"/>
    <w:rsid w:val="002953D0"/>
    <w:rsid w:val="002955C2"/>
    <w:rsid w:val="002969B7"/>
    <w:rsid w:val="002A4CCF"/>
    <w:rsid w:val="002A679F"/>
    <w:rsid w:val="002B2CFF"/>
    <w:rsid w:val="002B36B0"/>
    <w:rsid w:val="002B6E59"/>
    <w:rsid w:val="002C1096"/>
    <w:rsid w:val="002C22D3"/>
    <w:rsid w:val="002C7032"/>
    <w:rsid w:val="002D7372"/>
    <w:rsid w:val="002E2083"/>
    <w:rsid w:val="002E36E8"/>
    <w:rsid w:val="00301073"/>
    <w:rsid w:val="00301142"/>
    <w:rsid w:val="0030269D"/>
    <w:rsid w:val="00311258"/>
    <w:rsid w:val="00311547"/>
    <w:rsid w:val="00311AF3"/>
    <w:rsid w:val="003133A2"/>
    <w:rsid w:val="0032478F"/>
    <w:rsid w:val="00324EB2"/>
    <w:rsid w:val="00327BE2"/>
    <w:rsid w:val="00342B09"/>
    <w:rsid w:val="003441F6"/>
    <w:rsid w:val="00344D03"/>
    <w:rsid w:val="00347167"/>
    <w:rsid w:val="00357A0D"/>
    <w:rsid w:val="003629B9"/>
    <w:rsid w:val="00372507"/>
    <w:rsid w:val="00373AB3"/>
    <w:rsid w:val="00376937"/>
    <w:rsid w:val="003772FC"/>
    <w:rsid w:val="0038024F"/>
    <w:rsid w:val="0038187D"/>
    <w:rsid w:val="00383403"/>
    <w:rsid w:val="00391C6B"/>
    <w:rsid w:val="003A0014"/>
    <w:rsid w:val="003A2892"/>
    <w:rsid w:val="003B08F3"/>
    <w:rsid w:val="003B2F34"/>
    <w:rsid w:val="003C1027"/>
    <w:rsid w:val="003C62A9"/>
    <w:rsid w:val="003C78C6"/>
    <w:rsid w:val="003D5A80"/>
    <w:rsid w:val="003E2655"/>
    <w:rsid w:val="003F1D98"/>
    <w:rsid w:val="003F41A0"/>
    <w:rsid w:val="003F4638"/>
    <w:rsid w:val="003F59E2"/>
    <w:rsid w:val="00403D8B"/>
    <w:rsid w:val="00404CB2"/>
    <w:rsid w:val="00405817"/>
    <w:rsid w:val="00407D7F"/>
    <w:rsid w:val="004100CE"/>
    <w:rsid w:val="0043710B"/>
    <w:rsid w:val="00442F7C"/>
    <w:rsid w:val="0045175B"/>
    <w:rsid w:val="00451D3C"/>
    <w:rsid w:val="00452DFA"/>
    <w:rsid w:val="00453520"/>
    <w:rsid w:val="00453B97"/>
    <w:rsid w:val="00454FB2"/>
    <w:rsid w:val="00454FE6"/>
    <w:rsid w:val="00460DE1"/>
    <w:rsid w:val="00461150"/>
    <w:rsid w:val="004638EE"/>
    <w:rsid w:val="004704C5"/>
    <w:rsid w:val="00476DF1"/>
    <w:rsid w:val="0048012E"/>
    <w:rsid w:val="00490E29"/>
    <w:rsid w:val="004959F0"/>
    <w:rsid w:val="004A5100"/>
    <w:rsid w:val="004B3290"/>
    <w:rsid w:val="004B3ED7"/>
    <w:rsid w:val="004B588F"/>
    <w:rsid w:val="004B7902"/>
    <w:rsid w:val="004B7FAA"/>
    <w:rsid w:val="004C089C"/>
    <w:rsid w:val="004C3BDC"/>
    <w:rsid w:val="004C5DAB"/>
    <w:rsid w:val="004D0A7C"/>
    <w:rsid w:val="004D3518"/>
    <w:rsid w:val="004D5F6A"/>
    <w:rsid w:val="004E29F3"/>
    <w:rsid w:val="004E473C"/>
    <w:rsid w:val="004F07AC"/>
    <w:rsid w:val="00506475"/>
    <w:rsid w:val="00510551"/>
    <w:rsid w:val="00513F4F"/>
    <w:rsid w:val="00517FB0"/>
    <w:rsid w:val="0052193F"/>
    <w:rsid w:val="00524866"/>
    <w:rsid w:val="005271AF"/>
    <w:rsid w:val="005311A8"/>
    <w:rsid w:val="005323FE"/>
    <w:rsid w:val="005376D6"/>
    <w:rsid w:val="00556E1B"/>
    <w:rsid w:val="00562F5D"/>
    <w:rsid w:val="005641A0"/>
    <w:rsid w:val="00564850"/>
    <w:rsid w:val="005656D1"/>
    <w:rsid w:val="00570409"/>
    <w:rsid w:val="00574B1D"/>
    <w:rsid w:val="00575C6D"/>
    <w:rsid w:val="00587C27"/>
    <w:rsid w:val="00592210"/>
    <w:rsid w:val="005A57E9"/>
    <w:rsid w:val="005A749D"/>
    <w:rsid w:val="005C5708"/>
    <w:rsid w:val="005D0469"/>
    <w:rsid w:val="005D3B47"/>
    <w:rsid w:val="005E0392"/>
    <w:rsid w:val="005E3BF1"/>
    <w:rsid w:val="005F4CEE"/>
    <w:rsid w:val="00600772"/>
    <w:rsid w:val="00602274"/>
    <w:rsid w:val="00603BFF"/>
    <w:rsid w:val="00613FC1"/>
    <w:rsid w:val="00620D56"/>
    <w:rsid w:val="00627255"/>
    <w:rsid w:val="00653730"/>
    <w:rsid w:val="00654029"/>
    <w:rsid w:val="00654F39"/>
    <w:rsid w:val="0066493E"/>
    <w:rsid w:val="00665D8E"/>
    <w:rsid w:val="0066775E"/>
    <w:rsid w:val="006732BD"/>
    <w:rsid w:val="00680624"/>
    <w:rsid w:val="00681D22"/>
    <w:rsid w:val="00683E82"/>
    <w:rsid w:val="006914CF"/>
    <w:rsid w:val="006944D8"/>
    <w:rsid w:val="006A5831"/>
    <w:rsid w:val="006A5DC6"/>
    <w:rsid w:val="006B6DE7"/>
    <w:rsid w:val="006C1D72"/>
    <w:rsid w:val="006C53D5"/>
    <w:rsid w:val="006D0B88"/>
    <w:rsid w:val="006D39EE"/>
    <w:rsid w:val="006D6E38"/>
    <w:rsid w:val="006E0774"/>
    <w:rsid w:val="006E5140"/>
    <w:rsid w:val="006E7CC9"/>
    <w:rsid w:val="006F31B2"/>
    <w:rsid w:val="006F6AD7"/>
    <w:rsid w:val="007055AB"/>
    <w:rsid w:val="00705BA4"/>
    <w:rsid w:val="00712C3E"/>
    <w:rsid w:val="007151DD"/>
    <w:rsid w:val="00715812"/>
    <w:rsid w:val="00734E7A"/>
    <w:rsid w:val="00736721"/>
    <w:rsid w:val="00751F10"/>
    <w:rsid w:val="007615A3"/>
    <w:rsid w:val="007621E6"/>
    <w:rsid w:val="00772851"/>
    <w:rsid w:val="007877C3"/>
    <w:rsid w:val="00790068"/>
    <w:rsid w:val="0079519C"/>
    <w:rsid w:val="007A1FE8"/>
    <w:rsid w:val="007A41EF"/>
    <w:rsid w:val="007A5882"/>
    <w:rsid w:val="007B699D"/>
    <w:rsid w:val="007C439C"/>
    <w:rsid w:val="007E2DB4"/>
    <w:rsid w:val="007E7318"/>
    <w:rsid w:val="007F5745"/>
    <w:rsid w:val="007F5E92"/>
    <w:rsid w:val="00801F3D"/>
    <w:rsid w:val="00813A94"/>
    <w:rsid w:val="00814008"/>
    <w:rsid w:val="00817984"/>
    <w:rsid w:val="00837EE1"/>
    <w:rsid w:val="0084054A"/>
    <w:rsid w:val="00841924"/>
    <w:rsid w:val="008473A0"/>
    <w:rsid w:val="00847F6A"/>
    <w:rsid w:val="0085018D"/>
    <w:rsid w:val="00851139"/>
    <w:rsid w:val="0085284A"/>
    <w:rsid w:val="008549A8"/>
    <w:rsid w:val="00864F43"/>
    <w:rsid w:val="00867080"/>
    <w:rsid w:val="008734D3"/>
    <w:rsid w:val="00873AA9"/>
    <w:rsid w:val="008830C2"/>
    <w:rsid w:val="00885AAD"/>
    <w:rsid w:val="00891B4F"/>
    <w:rsid w:val="00894A2F"/>
    <w:rsid w:val="008952F3"/>
    <w:rsid w:val="00897ED5"/>
    <w:rsid w:val="008A0471"/>
    <w:rsid w:val="008A0A39"/>
    <w:rsid w:val="008A26A0"/>
    <w:rsid w:val="008A70F8"/>
    <w:rsid w:val="008B09F5"/>
    <w:rsid w:val="008B411E"/>
    <w:rsid w:val="008B5A8A"/>
    <w:rsid w:val="008C286C"/>
    <w:rsid w:val="008D26DB"/>
    <w:rsid w:val="008D73A5"/>
    <w:rsid w:val="008E4DC7"/>
    <w:rsid w:val="008F7FA3"/>
    <w:rsid w:val="009128BB"/>
    <w:rsid w:val="009140CC"/>
    <w:rsid w:val="00915D0B"/>
    <w:rsid w:val="00927410"/>
    <w:rsid w:val="00933237"/>
    <w:rsid w:val="0094679E"/>
    <w:rsid w:val="00955CD5"/>
    <w:rsid w:val="00980267"/>
    <w:rsid w:val="00980CA1"/>
    <w:rsid w:val="009816C5"/>
    <w:rsid w:val="009829BB"/>
    <w:rsid w:val="00985AAB"/>
    <w:rsid w:val="00986794"/>
    <w:rsid w:val="009A5611"/>
    <w:rsid w:val="009A783C"/>
    <w:rsid w:val="009C16AF"/>
    <w:rsid w:val="009C44E7"/>
    <w:rsid w:val="009C7473"/>
    <w:rsid w:val="009D1527"/>
    <w:rsid w:val="009D2610"/>
    <w:rsid w:val="009D2CA6"/>
    <w:rsid w:val="009D34FC"/>
    <w:rsid w:val="009E1FFC"/>
    <w:rsid w:val="009E34A2"/>
    <w:rsid w:val="009E56E7"/>
    <w:rsid w:val="009E6B8B"/>
    <w:rsid w:val="009E7D72"/>
    <w:rsid w:val="009F6437"/>
    <w:rsid w:val="00A026C4"/>
    <w:rsid w:val="00A027F8"/>
    <w:rsid w:val="00A0472D"/>
    <w:rsid w:val="00A05033"/>
    <w:rsid w:val="00A056CF"/>
    <w:rsid w:val="00A06297"/>
    <w:rsid w:val="00A0634C"/>
    <w:rsid w:val="00A1398B"/>
    <w:rsid w:val="00A14ADA"/>
    <w:rsid w:val="00A167BB"/>
    <w:rsid w:val="00A22A80"/>
    <w:rsid w:val="00A2535C"/>
    <w:rsid w:val="00A34E01"/>
    <w:rsid w:val="00A4038B"/>
    <w:rsid w:val="00A41061"/>
    <w:rsid w:val="00A424B7"/>
    <w:rsid w:val="00A442B6"/>
    <w:rsid w:val="00A44995"/>
    <w:rsid w:val="00A51633"/>
    <w:rsid w:val="00A55B85"/>
    <w:rsid w:val="00A55EA8"/>
    <w:rsid w:val="00A6320A"/>
    <w:rsid w:val="00A66959"/>
    <w:rsid w:val="00A805BB"/>
    <w:rsid w:val="00A8449A"/>
    <w:rsid w:val="00A97375"/>
    <w:rsid w:val="00AA07DD"/>
    <w:rsid w:val="00AA4C19"/>
    <w:rsid w:val="00AB0801"/>
    <w:rsid w:val="00AB218C"/>
    <w:rsid w:val="00AB566B"/>
    <w:rsid w:val="00AB568E"/>
    <w:rsid w:val="00AC34C6"/>
    <w:rsid w:val="00AD185A"/>
    <w:rsid w:val="00AD33D6"/>
    <w:rsid w:val="00AD358C"/>
    <w:rsid w:val="00AD35A8"/>
    <w:rsid w:val="00AE1BFC"/>
    <w:rsid w:val="00AE63B4"/>
    <w:rsid w:val="00AF01FE"/>
    <w:rsid w:val="00AF3184"/>
    <w:rsid w:val="00AF793F"/>
    <w:rsid w:val="00AF7E60"/>
    <w:rsid w:val="00B070F7"/>
    <w:rsid w:val="00B13A70"/>
    <w:rsid w:val="00B15514"/>
    <w:rsid w:val="00B21940"/>
    <w:rsid w:val="00B21C91"/>
    <w:rsid w:val="00B222F6"/>
    <w:rsid w:val="00B25E7E"/>
    <w:rsid w:val="00B30092"/>
    <w:rsid w:val="00B31447"/>
    <w:rsid w:val="00B35BBE"/>
    <w:rsid w:val="00B37045"/>
    <w:rsid w:val="00B4090D"/>
    <w:rsid w:val="00B447B5"/>
    <w:rsid w:val="00B44993"/>
    <w:rsid w:val="00B44ACF"/>
    <w:rsid w:val="00B46E28"/>
    <w:rsid w:val="00B47064"/>
    <w:rsid w:val="00B51DEF"/>
    <w:rsid w:val="00B56CA4"/>
    <w:rsid w:val="00B66838"/>
    <w:rsid w:val="00B718F4"/>
    <w:rsid w:val="00B838A0"/>
    <w:rsid w:val="00B84E55"/>
    <w:rsid w:val="00B86199"/>
    <w:rsid w:val="00B92F60"/>
    <w:rsid w:val="00B9461A"/>
    <w:rsid w:val="00B97CA1"/>
    <w:rsid w:val="00BA021B"/>
    <w:rsid w:val="00BA770A"/>
    <w:rsid w:val="00BB7B9A"/>
    <w:rsid w:val="00BC0E3B"/>
    <w:rsid w:val="00BC785E"/>
    <w:rsid w:val="00BD0D2F"/>
    <w:rsid w:val="00BE0E97"/>
    <w:rsid w:val="00BE100A"/>
    <w:rsid w:val="00BE2777"/>
    <w:rsid w:val="00BE71BF"/>
    <w:rsid w:val="00BF1FDE"/>
    <w:rsid w:val="00BF4B1D"/>
    <w:rsid w:val="00BF6791"/>
    <w:rsid w:val="00C0025A"/>
    <w:rsid w:val="00C04C5F"/>
    <w:rsid w:val="00C110AB"/>
    <w:rsid w:val="00C11441"/>
    <w:rsid w:val="00C12307"/>
    <w:rsid w:val="00C15BE9"/>
    <w:rsid w:val="00C24EB1"/>
    <w:rsid w:val="00C30AA1"/>
    <w:rsid w:val="00C34871"/>
    <w:rsid w:val="00C41D90"/>
    <w:rsid w:val="00C53230"/>
    <w:rsid w:val="00C537E2"/>
    <w:rsid w:val="00C542E0"/>
    <w:rsid w:val="00C60302"/>
    <w:rsid w:val="00C65F19"/>
    <w:rsid w:val="00C661AA"/>
    <w:rsid w:val="00C737DC"/>
    <w:rsid w:val="00C7785B"/>
    <w:rsid w:val="00C81C41"/>
    <w:rsid w:val="00C86188"/>
    <w:rsid w:val="00C86CBB"/>
    <w:rsid w:val="00C87261"/>
    <w:rsid w:val="00C92D75"/>
    <w:rsid w:val="00C92E19"/>
    <w:rsid w:val="00CA0B59"/>
    <w:rsid w:val="00CA1528"/>
    <w:rsid w:val="00CA404A"/>
    <w:rsid w:val="00CC0324"/>
    <w:rsid w:val="00CC5D07"/>
    <w:rsid w:val="00CC7D1C"/>
    <w:rsid w:val="00CD3BAB"/>
    <w:rsid w:val="00CD7F66"/>
    <w:rsid w:val="00CE115A"/>
    <w:rsid w:val="00CE6A2B"/>
    <w:rsid w:val="00CF0575"/>
    <w:rsid w:val="00CF1A69"/>
    <w:rsid w:val="00CF3E31"/>
    <w:rsid w:val="00CF6AAB"/>
    <w:rsid w:val="00D00580"/>
    <w:rsid w:val="00D03997"/>
    <w:rsid w:val="00D100CA"/>
    <w:rsid w:val="00D22369"/>
    <w:rsid w:val="00D338B1"/>
    <w:rsid w:val="00D40B34"/>
    <w:rsid w:val="00D46277"/>
    <w:rsid w:val="00D51F39"/>
    <w:rsid w:val="00D53D83"/>
    <w:rsid w:val="00D70045"/>
    <w:rsid w:val="00D87342"/>
    <w:rsid w:val="00D97F88"/>
    <w:rsid w:val="00DA15C0"/>
    <w:rsid w:val="00DA3B61"/>
    <w:rsid w:val="00DA4547"/>
    <w:rsid w:val="00DB0A33"/>
    <w:rsid w:val="00DB78AE"/>
    <w:rsid w:val="00DC0D31"/>
    <w:rsid w:val="00DC45E6"/>
    <w:rsid w:val="00DC75E6"/>
    <w:rsid w:val="00DD4B34"/>
    <w:rsid w:val="00DE1E95"/>
    <w:rsid w:val="00DF0260"/>
    <w:rsid w:val="00DF0F54"/>
    <w:rsid w:val="00E00A48"/>
    <w:rsid w:val="00E13A1D"/>
    <w:rsid w:val="00E13E6E"/>
    <w:rsid w:val="00E1788B"/>
    <w:rsid w:val="00E276D9"/>
    <w:rsid w:val="00E3177B"/>
    <w:rsid w:val="00E31ECE"/>
    <w:rsid w:val="00E43AA5"/>
    <w:rsid w:val="00E44297"/>
    <w:rsid w:val="00E47075"/>
    <w:rsid w:val="00E56722"/>
    <w:rsid w:val="00E56E45"/>
    <w:rsid w:val="00E574A6"/>
    <w:rsid w:val="00E61397"/>
    <w:rsid w:val="00E632A1"/>
    <w:rsid w:val="00E63E10"/>
    <w:rsid w:val="00E646A5"/>
    <w:rsid w:val="00E65080"/>
    <w:rsid w:val="00E71644"/>
    <w:rsid w:val="00E824FD"/>
    <w:rsid w:val="00E8446D"/>
    <w:rsid w:val="00EA2F58"/>
    <w:rsid w:val="00EA5A2B"/>
    <w:rsid w:val="00EB3D3D"/>
    <w:rsid w:val="00EB5617"/>
    <w:rsid w:val="00EB715B"/>
    <w:rsid w:val="00ED0582"/>
    <w:rsid w:val="00ED437D"/>
    <w:rsid w:val="00ED72AF"/>
    <w:rsid w:val="00EE1B71"/>
    <w:rsid w:val="00EE55EC"/>
    <w:rsid w:val="00EE5EE9"/>
    <w:rsid w:val="00EF290F"/>
    <w:rsid w:val="00EF53E6"/>
    <w:rsid w:val="00F009EB"/>
    <w:rsid w:val="00F10346"/>
    <w:rsid w:val="00F104E1"/>
    <w:rsid w:val="00F163A3"/>
    <w:rsid w:val="00F30097"/>
    <w:rsid w:val="00F32B9B"/>
    <w:rsid w:val="00F46398"/>
    <w:rsid w:val="00F5244F"/>
    <w:rsid w:val="00F60E45"/>
    <w:rsid w:val="00F62375"/>
    <w:rsid w:val="00F66298"/>
    <w:rsid w:val="00F83ED1"/>
    <w:rsid w:val="00F865D6"/>
    <w:rsid w:val="00F96D81"/>
    <w:rsid w:val="00FA08AE"/>
    <w:rsid w:val="00FB088A"/>
    <w:rsid w:val="00FB29A3"/>
    <w:rsid w:val="00FB3BF3"/>
    <w:rsid w:val="00FB66D3"/>
    <w:rsid w:val="00FB699D"/>
    <w:rsid w:val="00FB7705"/>
    <w:rsid w:val="00FC2816"/>
    <w:rsid w:val="00FC29E2"/>
    <w:rsid w:val="00FC7FD5"/>
    <w:rsid w:val="00FD2201"/>
    <w:rsid w:val="00FD3865"/>
    <w:rsid w:val="00FD5EC2"/>
    <w:rsid w:val="00FE7D1A"/>
    <w:rsid w:val="00FF0028"/>
    <w:rsid w:val="00FF051E"/>
    <w:rsid w:val="00FF125E"/>
    <w:rsid w:val="00FF3D73"/>
    <w:rsid w:val="00FF57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36174A3"/>
  <w15:chartTrackingRefBased/>
  <w15:docId w15:val="{A43FC5D0-98A9-4C59-ADE4-11D8DD10AB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24866"/>
    <w:rPr>
      <w:sz w:val="24"/>
      <w:szCs w:val="24"/>
      <w:lang w:val="en-GB"/>
    </w:rPr>
  </w:style>
  <w:style w:type="paragraph" w:styleId="Heading1">
    <w:name w:val="heading 1"/>
    <w:basedOn w:val="Normal"/>
    <w:next w:val="Normal"/>
    <w:link w:val="Heading1Char"/>
    <w:uiPriority w:val="9"/>
    <w:qFormat/>
    <w:rsid w:val="00EE55EC"/>
    <w:pPr>
      <w:keepNext/>
      <w:spacing w:before="240" w:after="60"/>
      <w:outlineLvl w:val="0"/>
    </w:pPr>
    <w:rPr>
      <w:rFonts w:ascii="Calibri Light" w:hAnsi="Calibri Light"/>
      <w:b/>
      <w:bCs/>
      <w:kern w:val="32"/>
      <w:sz w:val="32"/>
      <w:szCs w:val="32"/>
    </w:rPr>
  </w:style>
  <w:style w:type="paragraph" w:styleId="Heading2">
    <w:name w:val="heading 2"/>
    <w:basedOn w:val="Normal"/>
    <w:next w:val="Normal"/>
    <w:link w:val="Heading2Char"/>
    <w:uiPriority w:val="9"/>
    <w:semiHidden/>
    <w:unhideWhenUsed/>
    <w:qFormat/>
    <w:rsid w:val="00C542E0"/>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6">
    <w:name w:val="heading 6"/>
    <w:basedOn w:val="Default"/>
    <w:next w:val="Default"/>
    <w:link w:val="Heading6Char"/>
    <w:uiPriority w:val="99"/>
    <w:qFormat/>
    <w:rsid w:val="00CC0324"/>
    <w:pPr>
      <w:outlineLvl w:val="5"/>
    </w:pPr>
    <w:rPr>
      <w:color w:val="aut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985AAB"/>
    <w:pPr>
      <w:tabs>
        <w:tab w:val="center" w:pos="4536"/>
        <w:tab w:val="right" w:pos="9072"/>
      </w:tabs>
    </w:pPr>
  </w:style>
  <w:style w:type="paragraph" w:styleId="Header">
    <w:name w:val="header"/>
    <w:basedOn w:val="Normal"/>
    <w:rsid w:val="00985AAB"/>
    <w:pPr>
      <w:tabs>
        <w:tab w:val="center" w:pos="4536"/>
        <w:tab w:val="right" w:pos="9072"/>
      </w:tabs>
    </w:pPr>
  </w:style>
  <w:style w:type="character" w:styleId="CommentReference">
    <w:name w:val="annotation reference"/>
    <w:semiHidden/>
    <w:rsid w:val="00263D76"/>
    <w:rPr>
      <w:sz w:val="16"/>
      <w:szCs w:val="16"/>
    </w:rPr>
  </w:style>
  <w:style w:type="paragraph" w:styleId="CommentText">
    <w:name w:val="annotation text"/>
    <w:basedOn w:val="Normal"/>
    <w:link w:val="CommentTextChar"/>
    <w:semiHidden/>
    <w:rsid w:val="00263D76"/>
    <w:rPr>
      <w:sz w:val="20"/>
      <w:szCs w:val="20"/>
    </w:rPr>
  </w:style>
  <w:style w:type="paragraph" w:styleId="CommentSubject">
    <w:name w:val="annotation subject"/>
    <w:basedOn w:val="CommentText"/>
    <w:next w:val="CommentText"/>
    <w:semiHidden/>
    <w:rsid w:val="00263D76"/>
    <w:rPr>
      <w:b/>
      <w:bCs/>
    </w:rPr>
  </w:style>
  <w:style w:type="paragraph" w:styleId="BalloonText">
    <w:name w:val="Balloon Text"/>
    <w:basedOn w:val="Normal"/>
    <w:semiHidden/>
    <w:rsid w:val="00263D76"/>
    <w:rPr>
      <w:rFonts w:ascii="Tahoma" w:hAnsi="Tahoma" w:cs="Tahoma"/>
      <w:sz w:val="16"/>
      <w:szCs w:val="16"/>
    </w:rPr>
  </w:style>
  <w:style w:type="paragraph" w:styleId="NormalWeb">
    <w:name w:val="Normal (Web)"/>
    <w:basedOn w:val="Normal"/>
    <w:uiPriority w:val="99"/>
    <w:unhideWhenUsed/>
    <w:rsid w:val="00A805BB"/>
    <w:pPr>
      <w:spacing w:before="100" w:beforeAutospacing="1" w:after="100" w:afterAutospacing="1"/>
    </w:pPr>
    <w:rPr>
      <w:lang w:val="en-US"/>
    </w:rPr>
  </w:style>
  <w:style w:type="table" w:styleId="TableGrid">
    <w:name w:val="Table Grid"/>
    <w:basedOn w:val="TableNormal"/>
    <w:uiPriority w:val="39"/>
    <w:rsid w:val="00E824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mmentTextChar">
    <w:name w:val="Comment Text Char"/>
    <w:link w:val="CommentText"/>
    <w:uiPriority w:val="99"/>
    <w:semiHidden/>
    <w:rsid w:val="008473A0"/>
    <w:rPr>
      <w:lang w:val="en-GB"/>
    </w:rPr>
  </w:style>
  <w:style w:type="character" w:customStyle="1" w:styleId="Heading6Char">
    <w:name w:val="Heading 6 Char"/>
    <w:link w:val="Heading6"/>
    <w:uiPriority w:val="99"/>
    <w:rsid w:val="00CC0324"/>
    <w:rPr>
      <w:sz w:val="24"/>
      <w:szCs w:val="24"/>
    </w:rPr>
  </w:style>
  <w:style w:type="paragraph" w:customStyle="1" w:styleId="Default">
    <w:name w:val="Default"/>
    <w:rsid w:val="00CC0324"/>
    <w:pPr>
      <w:autoSpaceDE w:val="0"/>
      <w:autoSpaceDN w:val="0"/>
      <w:adjustRightInd w:val="0"/>
    </w:pPr>
    <w:rPr>
      <w:color w:val="000000"/>
      <w:sz w:val="24"/>
      <w:szCs w:val="24"/>
    </w:rPr>
  </w:style>
  <w:style w:type="character" w:customStyle="1" w:styleId="Heading1Char">
    <w:name w:val="Heading 1 Char"/>
    <w:link w:val="Heading1"/>
    <w:uiPriority w:val="9"/>
    <w:rsid w:val="00EE55EC"/>
    <w:rPr>
      <w:rFonts w:ascii="Calibri Light" w:eastAsia="Times New Roman" w:hAnsi="Calibri Light" w:cs="Times New Roman"/>
      <w:b/>
      <w:bCs/>
      <w:kern w:val="32"/>
      <w:sz w:val="32"/>
      <w:szCs w:val="32"/>
      <w:lang w:val="en-GB"/>
    </w:rPr>
  </w:style>
  <w:style w:type="paragraph" w:styleId="Revision">
    <w:name w:val="Revision"/>
    <w:hidden/>
    <w:uiPriority w:val="99"/>
    <w:semiHidden/>
    <w:rsid w:val="00A55B85"/>
    <w:rPr>
      <w:sz w:val="24"/>
      <w:szCs w:val="24"/>
      <w:lang w:val="en-GB"/>
    </w:rPr>
  </w:style>
  <w:style w:type="character" w:styleId="Hyperlink">
    <w:name w:val="Hyperlink"/>
    <w:uiPriority w:val="99"/>
    <w:unhideWhenUsed/>
    <w:rsid w:val="007C439C"/>
    <w:rPr>
      <w:color w:val="0563C1"/>
      <w:u w:val="single"/>
    </w:rPr>
  </w:style>
  <w:style w:type="character" w:customStyle="1" w:styleId="FooterChar">
    <w:name w:val="Footer Char"/>
    <w:link w:val="Footer"/>
    <w:uiPriority w:val="99"/>
    <w:rsid w:val="00AC34C6"/>
    <w:rPr>
      <w:sz w:val="24"/>
      <w:szCs w:val="24"/>
      <w:lang w:val="en-GB"/>
    </w:rPr>
  </w:style>
  <w:style w:type="character" w:styleId="PlaceholderText">
    <w:name w:val="Placeholder Text"/>
    <w:basedOn w:val="DefaultParagraphFont"/>
    <w:uiPriority w:val="99"/>
    <w:semiHidden/>
    <w:rsid w:val="00007D3E"/>
    <w:rPr>
      <w:color w:val="808080"/>
    </w:rPr>
  </w:style>
  <w:style w:type="character" w:styleId="UnresolvedMention">
    <w:name w:val="Unresolved Mention"/>
    <w:basedOn w:val="DefaultParagraphFont"/>
    <w:uiPriority w:val="99"/>
    <w:semiHidden/>
    <w:unhideWhenUsed/>
    <w:rsid w:val="00AE63B4"/>
    <w:rPr>
      <w:color w:val="605E5C"/>
      <w:shd w:val="clear" w:color="auto" w:fill="E1DFDD"/>
    </w:rPr>
  </w:style>
  <w:style w:type="character" w:customStyle="1" w:styleId="Heading2Char">
    <w:name w:val="Heading 2 Char"/>
    <w:basedOn w:val="DefaultParagraphFont"/>
    <w:link w:val="Heading2"/>
    <w:uiPriority w:val="9"/>
    <w:semiHidden/>
    <w:rsid w:val="00C542E0"/>
    <w:rPr>
      <w:rFonts w:asciiTheme="majorHAnsi" w:eastAsiaTheme="majorEastAsia" w:hAnsiTheme="majorHAnsi" w:cstheme="majorBidi"/>
      <w:color w:val="2E74B5" w:themeColor="accent1" w:themeShade="BF"/>
      <w:sz w:val="26"/>
      <w:szCs w:val="26"/>
      <w:lang w:val="en-GB"/>
    </w:rPr>
  </w:style>
  <w:style w:type="paragraph" w:styleId="Caption">
    <w:name w:val="caption"/>
    <w:basedOn w:val="Normal"/>
    <w:next w:val="Normal"/>
    <w:uiPriority w:val="35"/>
    <w:qFormat/>
    <w:rsid w:val="00BF6791"/>
    <w:pPr>
      <w:keepNext/>
      <w:keepLines/>
      <w:spacing w:before="270" w:after="180" w:line="264" w:lineRule="auto"/>
    </w:pPr>
    <w:rPr>
      <w:rFonts w:asciiTheme="majorHAnsi" w:eastAsiaTheme="majorEastAsia" w:hAnsiTheme="majorHAnsi" w:cstheme="minorBidi"/>
      <w:b/>
      <w:iCs/>
      <w:color w:val="70AD47" w:themeColor="accent6"/>
      <w:szCs w:val="18"/>
      <w:lang w:val="en-US"/>
    </w:rPr>
  </w:style>
  <w:style w:type="character" w:styleId="FollowedHyperlink">
    <w:name w:val="FollowedHyperlink"/>
    <w:basedOn w:val="DefaultParagraphFont"/>
    <w:uiPriority w:val="99"/>
    <w:semiHidden/>
    <w:unhideWhenUsed/>
    <w:rsid w:val="00C661A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2960">
      <w:bodyDiv w:val="1"/>
      <w:marLeft w:val="0"/>
      <w:marRight w:val="0"/>
      <w:marTop w:val="0"/>
      <w:marBottom w:val="0"/>
      <w:divBdr>
        <w:top w:val="none" w:sz="0" w:space="0" w:color="auto"/>
        <w:left w:val="none" w:sz="0" w:space="0" w:color="auto"/>
        <w:bottom w:val="none" w:sz="0" w:space="0" w:color="auto"/>
        <w:right w:val="none" w:sz="0" w:space="0" w:color="auto"/>
      </w:divBdr>
    </w:div>
    <w:div w:id="78992556">
      <w:bodyDiv w:val="1"/>
      <w:marLeft w:val="0"/>
      <w:marRight w:val="0"/>
      <w:marTop w:val="0"/>
      <w:marBottom w:val="0"/>
      <w:divBdr>
        <w:top w:val="none" w:sz="0" w:space="0" w:color="auto"/>
        <w:left w:val="none" w:sz="0" w:space="0" w:color="auto"/>
        <w:bottom w:val="none" w:sz="0" w:space="0" w:color="auto"/>
        <w:right w:val="none" w:sz="0" w:space="0" w:color="auto"/>
      </w:divBdr>
    </w:div>
    <w:div w:id="90898763">
      <w:bodyDiv w:val="1"/>
      <w:marLeft w:val="0"/>
      <w:marRight w:val="0"/>
      <w:marTop w:val="0"/>
      <w:marBottom w:val="0"/>
      <w:divBdr>
        <w:top w:val="none" w:sz="0" w:space="0" w:color="auto"/>
        <w:left w:val="none" w:sz="0" w:space="0" w:color="auto"/>
        <w:bottom w:val="none" w:sz="0" w:space="0" w:color="auto"/>
        <w:right w:val="none" w:sz="0" w:space="0" w:color="auto"/>
      </w:divBdr>
    </w:div>
    <w:div w:id="105933704">
      <w:bodyDiv w:val="1"/>
      <w:marLeft w:val="0"/>
      <w:marRight w:val="0"/>
      <w:marTop w:val="0"/>
      <w:marBottom w:val="0"/>
      <w:divBdr>
        <w:top w:val="none" w:sz="0" w:space="0" w:color="auto"/>
        <w:left w:val="none" w:sz="0" w:space="0" w:color="auto"/>
        <w:bottom w:val="none" w:sz="0" w:space="0" w:color="auto"/>
        <w:right w:val="none" w:sz="0" w:space="0" w:color="auto"/>
      </w:divBdr>
    </w:div>
    <w:div w:id="356853543">
      <w:bodyDiv w:val="1"/>
      <w:marLeft w:val="0"/>
      <w:marRight w:val="0"/>
      <w:marTop w:val="0"/>
      <w:marBottom w:val="0"/>
      <w:divBdr>
        <w:top w:val="none" w:sz="0" w:space="0" w:color="auto"/>
        <w:left w:val="none" w:sz="0" w:space="0" w:color="auto"/>
        <w:bottom w:val="none" w:sz="0" w:space="0" w:color="auto"/>
        <w:right w:val="none" w:sz="0" w:space="0" w:color="auto"/>
      </w:divBdr>
    </w:div>
    <w:div w:id="490951214">
      <w:bodyDiv w:val="1"/>
      <w:marLeft w:val="0"/>
      <w:marRight w:val="0"/>
      <w:marTop w:val="0"/>
      <w:marBottom w:val="0"/>
      <w:divBdr>
        <w:top w:val="none" w:sz="0" w:space="0" w:color="auto"/>
        <w:left w:val="none" w:sz="0" w:space="0" w:color="auto"/>
        <w:bottom w:val="none" w:sz="0" w:space="0" w:color="auto"/>
        <w:right w:val="none" w:sz="0" w:space="0" w:color="auto"/>
      </w:divBdr>
    </w:div>
    <w:div w:id="527446687">
      <w:bodyDiv w:val="1"/>
      <w:marLeft w:val="0"/>
      <w:marRight w:val="0"/>
      <w:marTop w:val="0"/>
      <w:marBottom w:val="0"/>
      <w:divBdr>
        <w:top w:val="none" w:sz="0" w:space="0" w:color="auto"/>
        <w:left w:val="none" w:sz="0" w:space="0" w:color="auto"/>
        <w:bottom w:val="none" w:sz="0" w:space="0" w:color="auto"/>
        <w:right w:val="none" w:sz="0" w:space="0" w:color="auto"/>
      </w:divBdr>
    </w:div>
    <w:div w:id="562526859">
      <w:bodyDiv w:val="1"/>
      <w:marLeft w:val="0"/>
      <w:marRight w:val="0"/>
      <w:marTop w:val="0"/>
      <w:marBottom w:val="0"/>
      <w:divBdr>
        <w:top w:val="none" w:sz="0" w:space="0" w:color="auto"/>
        <w:left w:val="none" w:sz="0" w:space="0" w:color="auto"/>
        <w:bottom w:val="none" w:sz="0" w:space="0" w:color="auto"/>
        <w:right w:val="none" w:sz="0" w:space="0" w:color="auto"/>
      </w:divBdr>
    </w:div>
    <w:div w:id="569772980">
      <w:bodyDiv w:val="1"/>
      <w:marLeft w:val="0"/>
      <w:marRight w:val="0"/>
      <w:marTop w:val="0"/>
      <w:marBottom w:val="0"/>
      <w:divBdr>
        <w:top w:val="none" w:sz="0" w:space="0" w:color="auto"/>
        <w:left w:val="none" w:sz="0" w:space="0" w:color="auto"/>
        <w:bottom w:val="none" w:sz="0" w:space="0" w:color="auto"/>
        <w:right w:val="none" w:sz="0" w:space="0" w:color="auto"/>
      </w:divBdr>
    </w:div>
    <w:div w:id="712383229">
      <w:bodyDiv w:val="1"/>
      <w:marLeft w:val="0"/>
      <w:marRight w:val="0"/>
      <w:marTop w:val="0"/>
      <w:marBottom w:val="0"/>
      <w:divBdr>
        <w:top w:val="none" w:sz="0" w:space="0" w:color="auto"/>
        <w:left w:val="none" w:sz="0" w:space="0" w:color="auto"/>
        <w:bottom w:val="none" w:sz="0" w:space="0" w:color="auto"/>
        <w:right w:val="none" w:sz="0" w:space="0" w:color="auto"/>
      </w:divBdr>
    </w:div>
    <w:div w:id="751271143">
      <w:bodyDiv w:val="1"/>
      <w:marLeft w:val="0"/>
      <w:marRight w:val="0"/>
      <w:marTop w:val="0"/>
      <w:marBottom w:val="0"/>
      <w:divBdr>
        <w:top w:val="none" w:sz="0" w:space="0" w:color="auto"/>
        <w:left w:val="none" w:sz="0" w:space="0" w:color="auto"/>
        <w:bottom w:val="none" w:sz="0" w:space="0" w:color="auto"/>
        <w:right w:val="none" w:sz="0" w:space="0" w:color="auto"/>
      </w:divBdr>
    </w:div>
    <w:div w:id="757101287">
      <w:bodyDiv w:val="1"/>
      <w:marLeft w:val="0"/>
      <w:marRight w:val="0"/>
      <w:marTop w:val="0"/>
      <w:marBottom w:val="0"/>
      <w:divBdr>
        <w:top w:val="none" w:sz="0" w:space="0" w:color="auto"/>
        <w:left w:val="none" w:sz="0" w:space="0" w:color="auto"/>
        <w:bottom w:val="none" w:sz="0" w:space="0" w:color="auto"/>
        <w:right w:val="none" w:sz="0" w:space="0" w:color="auto"/>
      </w:divBdr>
    </w:div>
    <w:div w:id="894202937">
      <w:bodyDiv w:val="1"/>
      <w:marLeft w:val="0"/>
      <w:marRight w:val="0"/>
      <w:marTop w:val="0"/>
      <w:marBottom w:val="0"/>
      <w:divBdr>
        <w:top w:val="none" w:sz="0" w:space="0" w:color="auto"/>
        <w:left w:val="none" w:sz="0" w:space="0" w:color="auto"/>
        <w:bottom w:val="none" w:sz="0" w:space="0" w:color="auto"/>
        <w:right w:val="none" w:sz="0" w:space="0" w:color="auto"/>
      </w:divBdr>
    </w:div>
    <w:div w:id="938220017">
      <w:bodyDiv w:val="1"/>
      <w:marLeft w:val="0"/>
      <w:marRight w:val="0"/>
      <w:marTop w:val="0"/>
      <w:marBottom w:val="0"/>
      <w:divBdr>
        <w:top w:val="none" w:sz="0" w:space="0" w:color="auto"/>
        <w:left w:val="none" w:sz="0" w:space="0" w:color="auto"/>
        <w:bottom w:val="none" w:sz="0" w:space="0" w:color="auto"/>
        <w:right w:val="none" w:sz="0" w:space="0" w:color="auto"/>
      </w:divBdr>
    </w:div>
    <w:div w:id="1055809735">
      <w:bodyDiv w:val="1"/>
      <w:marLeft w:val="0"/>
      <w:marRight w:val="0"/>
      <w:marTop w:val="0"/>
      <w:marBottom w:val="0"/>
      <w:divBdr>
        <w:top w:val="none" w:sz="0" w:space="0" w:color="auto"/>
        <w:left w:val="none" w:sz="0" w:space="0" w:color="auto"/>
        <w:bottom w:val="none" w:sz="0" w:space="0" w:color="auto"/>
        <w:right w:val="none" w:sz="0" w:space="0" w:color="auto"/>
      </w:divBdr>
    </w:div>
    <w:div w:id="1063337721">
      <w:bodyDiv w:val="1"/>
      <w:marLeft w:val="0"/>
      <w:marRight w:val="0"/>
      <w:marTop w:val="0"/>
      <w:marBottom w:val="0"/>
      <w:divBdr>
        <w:top w:val="none" w:sz="0" w:space="0" w:color="auto"/>
        <w:left w:val="none" w:sz="0" w:space="0" w:color="auto"/>
        <w:bottom w:val="none" w:sz="0" w:space="0" w:color="auto"/>
        <w:right w:val="none" w:sz="0" w:space="0" w:color="auto"/>
      </w:divBdr>
    </w:div>
    <w:div w:id="1125081281">
      <w:bodyDiv w:val="1"/>
      <w:marLeft w:val="0"/>
      <w:marRight w:val="0"/>
      <w:marTop w:val="0"/>
      <w:marBottom w:val="0"/>
      <w:divBdr>
        <w:top w:val="none" w:sz="0" w:space="0" w:color="auto"/>
        <w:left w:val="none" w:sz="0" w:space="0" w:color="auto"/>
        <w:bottom w:val="none" w:sz="0" w:space="0" w:color="auto"/>
        <w:right w:val="none" w:sz="0" w:space="0" w:color="auto"/>
      </w:divBdr>
    </w:div>
    <w:div w:id="1176961731">
      <w:bodyDiv w:val="1"/>
      <w:marLeft w:val="0"/>
      <w:marRight w:val="0"/>
      <w:marTop w:val="0"/>
      <w:marBottom w:val="0"/>
      <w:divBdr>
        <w:top w:val="none" w:sz="0" w:space="0" w:color="auto"/>
        <w:left w:val="none" w:sz="0" w:space="0" w:color="auto"/>
        <w:bottom w:val="none" w:sz="0" w:space="0" w:color="auto"/>
        <w:right w:val="none" w:sz="0" w:space="0" w:color="auto"/>
      </w:divBdr>
    </w:div>
    <w:div w:id="1183739846">
      <w:bodyDiv w:val="1"/>
      <w:marLeft w:val="0"/>
      <w:marRight w:val="0"/>
      <w:marTop w:val="0"/>
      <w:marBottom w:val="0"/>
      <w:divBdr>
        <w:top w:val="none" w:sz="0" w:space="0" w:color="auto"/>
        <w:left w:val="none" w:sz="0" w:space="0" w:color="auto"/>
        <w:bottom w:val="none" w:sz="0" w:space="0" w:color="auto"/>
        <w:right w:val="none" w:sz="0" w:space="0" w:color="auto"/>
      </w:divBdr>
    </w:div>
    <w:div w:id="1248926899">
      <w:bodyDiv w:val="1"/>
      <w:marLeft w:val="0"/>
      <w:marRight w:val="0"/>
      <w:marTop w:val="0"/>
      <w:marBottom w:val="0"/>
      <w:divBdr>
        <w:top w:val="none" w:sz="0" w:space="0" w:color="auto"/>
        <w:left w:val="none" w:sz="0" w:space="0" w:color="auto"/>
        <w:bottom w:val="none" w:sz="0" w:space="0" w:color="auto"/>
        <w:right w:val="none" w:sz="0" w:space="0" w:color="auto"/>
      </w:divBdr>
    </w:div>
    <w:div w:id="1335768345">
      <w:bodyDiv w:val="1"/>
      <w:marLeft w:val="0"/>
      <w:marRight w:val="0"/>
      <w:marTop w:val="0"/>
      <w:marBottom w:val="0"/>
      <w:divBdr>
        <w:top w:val="none" w:sz="0" w:space="0" w:color="auto"/>
        <w:left w:val="none" w:sz="0" w:space="0" w:color="auto"/>
        <w:bottom w:val="none" w:sz="0" w:space="0" w:color="auto"/>
        <w:right w:val="none" w:sz="0" w:space="0" w:color="auto"/>
      </w:divBdr>
    </w:div>
    <w:div w:id="1607467809">
      <w:bodyDiv w:val="1"/>
      <w:marLeft w:val="0"/>
      <w:marRight w:val="0"/>
      <w:marTop w:val="0"/>
      <w:marBottom w:val="0"/>
      <w:divBdr>
        <w:top w:val="none" w:sz="0" w:space="0" w:color="auto"/>
        <w:left w:val="none" w:sz="0" w:space="0" w:color="auto"/>
        <w:bottom w:val="none" w:sz="0" w:space="0" w:color="auto"/>
        <w:right w:val="none" w:sz="0" w:space="0" w:color="auto"/>
      </w:divBdr>
    </w:div>
    <w:div w:id="1788770068">
      <w:bodyDiv w:val="1"/>
      <w:marLeft w:val="0"/>
      <w:marRight w:val="0"/>
      <w:marTop w:val="0"/>
      <w:marBottom w:val="0"/>
      <w:divBdr>
        <w:top w:val="none" w:sz="0" w:space="0" w:color="auto"/>
        <w:left w:val="none" w:sz="0" w:space="0" w:color="auto"/>
        <w:bottom w:val="none" w:sz="0" w:space="0" w:color="auto"/>
        <w:right w:val="none" w:sz="0" w:space="0" w:color="auto"/>
      </w:divBdr>
    </w:div>
    <w:div w:id="1855341211">
      <w:bodyDiv w:val="1"/>
      <w:marLeft w:val="0"/>
      <w:marRight w:val="0"/>
      <w:marTop w:val="0"/>
      <w:marBottom w:val="0"/>
      <w:divBdr>
        <w:top w:val="none" w:sz="0" w:space="0" w:color="auto"/>
        <w:left w:val="none" w:sz="0" w:space="0" w:color="auto"/>
        <w:bottom w:val="none" w:sz="0" w:space="0" w:color="auto"/>
        <w:right w:val="none" w:sz="0" w:space="0" w:color="auto"/>
      </w:divBdr>
    </w:div>
    <w:div w:id="1979872666">
      <w:bodyDiv w:val="1"/>
      <w:marLeft w:val="0"/>
      <w:marRight w:val="0"/>
      <w:marTop w:val="0"/>
      <w:marBottom w:val="0"/>
      <w:divBdr>
        <w:top w:val="none" w:sz="0" w:space="0" w:color="auto"/>
        <w:left w:val="none" w:sz="0" w:space="0" w:color="auto"/>
        <w:bottom w:val="none" w:sz="0" w:space="0" w:color="auto"/>
        <w:right w:val="none" w:sz="0" w:space="0" w:color="auto"/>
      </w:divBdr>
    </w:div>
    <w:div w:id="21255335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gincentives.org" TargetMode="External"/><Relationship Id="rId13" Type="http://schemas.openxmlformats.org/officeDocument/2006/relationships/diagramData" Target="diagrams/data1.xml"/><Relationship Id="rId18" Type="http://schemas.openxmlformats.org/officeDocument/2006/relationships/chart" Target="charts/chart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image" Target="media/image1.jpeg"/><Relationship Id="rId17" Type="http://schemas.microsoft.com/office/2007/relationships/diagramDrawing" Target="diagrams/drawing1.xml"/><Relationship Id="rId2" Type="http://schemas.openxmlformats.org/officeDocument/2006/relationships/numbering" Target="numbering.xml"/><Relationship Id="rId16" Type="http://schemas.openxmlformats.org/officeDocument/2006/relationships/diagramColors" Target="diagrams/colors1.xml"/><Relationship Id="rId20" Type="http://schemas.openxmlformats.org/officeDocument/2006/relationships/chart" Target="charts/chart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nctad.org" TargetMode="External"/><Relationship Id="rId5" Type="http://schemas.openxmlformats.org/officeDocument/2006/relationships/webSettings" Target="webSettings.xml"/><Relationship Id="rId15" Type="http://schemas.openxmlformats.org/officeDocument/2006/relationships/diagramQuickStyle" Target="diagrams/quickStyle1.xml"/><Relationship Id="rId23" Type="http://schemas.openxmlformats.org/officeDocument/2006/relationships/theme" Target="theme/theme1.xml"/><Relationship Id="rId10" Type="http://schemas.openxmlformats.org/officeDocument/2006/relationships/hyperlink" Target="http://www.wits.worldbank.org" TargetMode="External"/><Relationship Id="rId19" Type="http://schemas.openxmlformats.org/officeDocument/2006/relationships/chart" Target="charts/chart2.xml"/><Relationship Id="rId4" Type="http://schemas.openxmlformats.org/officeDocument/2006/relationships/settings" Target="settings.xml"/><Relationship Id="rId9" Type="http://schemas.openxmlformats.org/officeDocument/2006/relationships/hyperlink" Target="http://www.agincentives.org" TargetMode="External"/><Relationship Id="rId14" Type="http://schemas.openxmlformats.org/officeDocument/2006/relationships/diagramLayout" Target="diagrams/layout1.xml"/><Relationship Id="rId22" Type="http://schemas.openxmlformats.org/officeDocument/2006/relationships/fontTable" Target="fontTable.xml"/></Relationships>
</file>

<file path=word/charts/_rels/chart1.xml.rels><?xml version="1.0" encoding="UTF-8" standalone="yes"?>
<Relationships xmlns="http://schemas.openxmlformats.org/package/2006/relationships"><Relationship Id="rId3" Type="http://schemas.openxmlformats.org/officeDocument/2006/relationships/oleObject" Target="https://cgiar-my.sharepoint.com/personal/a_mamun_cgiar_org/Documents/Documents/AgIncentives/Documents/Graphs%20for%20AgIncentives%20DP.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Book4"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image" Target="../media/image2.jpeg"/><Relationship Id="rId2" Type="http://schemas.microsoft.com/office/2011/relationships/chartColorStyle" Target="colors3.xml"/><Relationship Id="rId1" Type="http://schemas.microsoft.com/office/2011/relationships/chartStyle" Target="style3.xml"/><Relationship Id="rId4" Type="http://schemas.openxmlformats.org/officeDocument/2006/relationships/oleObject" Target="Book4"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strRef>
              <c:f>'[Graphs for AgIncentives DP.xlsx]Sheet1'!$C$1</c:f>
              <c:strCache>
                <c:ptCount val="1"/>
                <c:pt idx="0">
                  <c:v>NRP (%)</c:v>
                </c:pt>
              </c:strCache>
            </c:strRef>
          </c:tx>
          <c:spPr>
            <a:ln w="28575" cap="rnd">
              <a:solidFill>
                <a:schemeClr val="accent1"/>
              </a:solidFill>
              <a:round/>
            </a:ln>
            <a:effectLst/>
          </c:spPr>
          <c:marker>
            <c:symbol val="diamond"/>
            <c:size val="5"/>
            <c:spPr>
              <a:solidFill>
                <a:schemeClr val="accent1"/>
              </a:solidFill>
              <a:ln w="9525">
                <a:solidFill>
                  <a:schemeClr val="accent1"/>
                </a:solidFill>
              </a:ln>
              <a:effectLst/>
            </c:spPr>
          </c:marker>
          <c:cat>
            <c:numRef>
              <c:f>'[Graphs for AgIncentives DP.xlsx]Sheet1'!$B$2:$B$18</c:f>
              <c:numCache>
                <c:formatCode>General</c:formatCode>
                <c:ptCount val="17"/>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pt idx="14">
                  <c:v>2019</c:v>
                </c:pt>
                <c:pt idx="15">
                  <c:v>2020</c:v>
                </c:pt>
                <c:pt idx="16">
                  <c:v>2021</c:v>
                </c:pt>
              </c:numCache>
            </c:numRef>
          </c:cat>
          <c:val>
            <c:numRef>
              <c:f>'[Graphs for AgIncentives DP.xlsx]Sheet1'!$C$2:$C$18</c:f>
              <c:numCache>
                <c:formatCode>General</c:formatCode>
                <c:ptCount val="17"/>
                <c:pt idx="0">
                  <c:v>4.0658280834900005</c:v>
                </c:pt>
                <c:pt idx="1">
                  <c:v>5.3215995606600002</c:v>
                </c:pt>
                <c:pt idx="2">
                  <c:v>1.6254622473354901</c:v>
                </c:pt>
                <c:pt idx="3">
                  <c:v>-1.75821567438517</c:v>
                </c:pt>
                <c:pt idx="4">
                  <c:v>3.8894797230610996</c:v>
                </c:pt>
                <c:pt idx="5">
                  <c:v>4.4653226991183503</c:v>
                </c:pt>
                <c:pt idx="6">
                  <c:v>1.34783203902279</c:v>
                </c:pt>
                <c:pt idx="7">
                  <c:v>5.1130497789216003</c:v>
                </c:pt>
                <c:pt idx="8">
                  <c:v>3.9495955808692895</c:v>
                </c:pt>
                <c:pt idx="9">
                  <c:v>4.7861134060642403</c:v>
                </c:pt>
                <c:pt idx="10">
                  <c:v>6.7959341740951906</c:v>
                </c:pt>
                <c:pt idx="11">
                  <c:v>6.73761563426077</c:v>
                </c:pt>
                <c:pt idx="12">
                  <c:v>7.4606953649226</c:v>
                </c:pt>
                <c:pt idx="13">
                  <c:v>5.4976915991073696</c:v>
                </c:pt>
                <c:pt idx="14">
                  <c:v>5.6677777015723203</c:v>
                </c:pt>
                <c:pt idx="15">
                  <c:v>6.1863750114816298</c:v>
                </c:pt>
                <c:pt idx="16">
                  <c:v>5.9878050111183398</c:v>
                </c:pt>
              </c:numCache>
            </c:numRef>
          </c:val>
          <c:smooth val="0"/>
          <c:extLst>
            <c:ext xmlns:c16="http://schemas.microsoft.com/office/drawing/2014/chart" uri="{C3380CC4-5D6E-409C-BE32-E72D297353CC}">
              <c16:uniqueId val="{00000000-28C9-4DF2-AD0C-288793F01157}"/>
            </c:ext>
          </c:extLst>
        </c:ser>
        <c:dLbls>
          <c:showLegendKey val="0"/>
          <c:showVal val="0"/>
          <c:showCatName val="0"/>
          <c:showSerName val="0"/>
          <c:showPercent val="0"/>
          <c:showBubbleSize val="0"/>
        </c:dLbls>
        <c:marker val="1"/>
        <c:smooth val="0"/>
        <c:axId val="899054448"/>
        <c:axId val="899025256"/>
      </c:lineChart>
      <c:lineChart>
        <c:grouping val="standard"/>
        <c:varyColors val="0"/>
        <c:ser>
          <c:idx val="1"/>
          <c:order val="1"/>
          <c:tx>
            <c:strRef>
              <c:f>'[Graphs for AgIncentives DP.xlsx]Sheet1'!$D$1</c:f>
              <c:strCache>
                <c:ptCount val="1"/>
                <c:pt idx="0">
                  <c:v>Food Price Index</c:v>
                </c:pt>
              </c:strCache>
            </c:strRef>
          </c:tx>
          <c:spPr>
            <a:ln w="28575" cap="rnd">
              <a:solidFill>
                <a:schemeClr val="accent2"/>
              </a:solidFill>
              <a:round/>
            </a:ln>
            <a:effectLst/>
          </c:spPr>
          <c:marker>
            <c:symbol val="triangle"/>
            <c:size val="5"/>
            <c:spPr>
              <a:solidFill>
                <a:schemeClr val="accent2"/>
              </a:solidFill>
              <a:ln w="9525">
                <a:solidFill>
                  <a:schemeClr val="accent2"/>
                </a:solidFill>
              </a:ln>
              <a:effectLst/>
            </c:spPr>
          </c:marker>
          <c:val>
            <c:numRef>
              <c:f>'[Graphs for AgIncentives DP.xlsx]Sheet1'!$D$2:$D$18</c:f>
              <c:numCache>
                <c:formatCode>0.0</c:formatCode>
                <c:ptCount val="17"/>
                <c:pt idx="0">
                  <c:v>67.37712874160826</c:v>
                </c:pt>
                <c:pt idx="1">
                  <c:v>72.563153923945166</c:v>
                </c:pt>
                <c:pt idx="2">
                  <c:v>94.253548940170091</c:v>
                </c:pt>
                <c:pt idx="3">
                  <c:v>117.51064206257763</c:v>
                </c:pt>
                <c:pt idx="4">
                  <c:v>91.661322035340064</c:v>
                </c:pt>
                <c:pt idx="5">
                  <c:v>106.74383644415752</c:v>
                </c:pt>
                <c:pt idx="6">
                  <c:v>131.88441618367847</c:v>
                </c:pt>
                <c:pt idx="7">
                  <c:v>122.8408252619132</c:v>
                </c:pt>
                <c:pt idx="8">
                  <c:v>120.12516926903429</c:v>
                </c:pt>
                <c:pt idx="9">
                  <c:v>115.02866553779801</c:v>
                </c:pt>
                <c:pt idx="10">
                  <c:v>93.046912712545165</c:v>
                </c:pt>
                <c:pt idx="11">
                  <c:v>91.924421749656872</c:v>
                </c:pt>
                <c:pt idx="12">
                  <c:v>98.022859367083484</c:v>
                </c:pt>
                <c:pt idx="13">
                  <c:v>95.916687787396441</c:v>
                </c:pt>
                <c:pt idx="14">
                  <c:v>95.103955588525295</c:v>
                </c:pt>
                <c:pt idx="15">
                  <c:v>98.129793377180832</c:v>
                </c:pt>
                <c:pt idx="16">
                  <c:v>125.72811227472192</c:v>
                </c:pt>
              </c:numCache>
            </c:numRef>
          </c:val>
          <c:smooth val="0"/>
          <c:extLst>
            <c:ext xmlns:c16="http://schemas.microsoft.com/office/drawing/2014/chart" uri="{C3380CC4-5D6E-409C-BE32-E72D297353CC}">
              <c16:uniqueId val="{00000001-28C9-4DF2-AD0C-288793F01157}"/>
            </c:ext>
          </c:extLst>
        </c:ser>
        <c:dLbls>
          <c:showLegendKey val="0"/>
          <c:showVal val="0"/>
          <c:showCatName val="0"/>
          <c:showSerName val="0"/>
          <c:showPercent val="0"/>
          <c:showBubbleSize val="0"/>
        </c:dLbls>
        <c:marker val="1"/>
        <c:smooth val="0"/>
        <c:axId val="838738664"/>
        <c:axId val="838732760"/>
      </c:lineChart>
      <c:catAx>
        <c:axId val="89905444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899025256"/>
        <c:crosses val="autoZero"/>
        <c:auto val="1"/>
        <c:lblAlgn val="ctr"/>
        <c:lblOffset val="100"/>
        <c:noMultiLvlLbl val="0"/>
      </c:catAx>
      <c:valAx>
        <c:axId val="899025256"/>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1" i="0" u="none" strike="noStrike" kern="1200" baseline="0">
                    <a:solidFill>
                      <a:schemeClr val="tx1">
                        <a:lumMod val="65000"/>
                        <a:lumOff val="35000"/>
                      </a:schemeClr>
                    </a:solidFill>
                    <a:latin typeface="+mn-lt"/>
                    <a:ea typeface="+mn-ea"/>
                    <a:cs typeface="+mn-cs"/>
                  </a:defRPr>
                </a:pPr>
                <a:r>
                  <a:rPr lang="en-US" b="1"/>
                  <a:t>% points</a:t>
                </a:r>
              </a:p>
            </c:rich>
          </c:tx>
          <c:overlay val="0"/>
          <c:spPr>
            <a:noFill/>
            <a:ln>
              <a:noFill/>
            </a:ln>
            <a:effectLst/>
          </c:spPr>
          <c:txPr>
            <a:bodyPr rot="-5400000" spcFirstLastPara="1" vertOverflow="ellipsis" vert="horz" wrap="square" anchor="ctr" anchorCtr="1"/>
            <a:lstStyle/>
            <a:p>
              <a:pPr>
                <a:defRPr sz="1000" b="1" i="0" u="none" strike="noStrike" kern="1200" baseline="0">
                  <a:solidFill>
                    <a:schemeClr val="tx1">
                      <a:lumMod val="65000"/>
                      <a:lumOff val="35000"/>
                    </a:schemeClr>
                  </a:solidFill>
                  <a:latin typeface="+mn-lt"/>
                  <a:ea typeface="+mn-ea"/>
                  <a:cs typeface="+mn-cs"/>
                </a:defRPr>
              </a:pPr>
              <a:endParaRPr lang="en-US"/>
            </a:p>
          </c:txPr>
        </c:title>
        <c:numFmt formatCode="#,##0.0"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899054448"/>
        <c:crosses val="autoZero"/>
        <c:crossBetween val="between"/>
      </c:valAx>
      <c:valAx>
        <c:axId val="838732760"/>
        <c:scaling>
          <c:orientation val="minMax"/>
        </c:scaling>
        <c:delete val="0"/>
        <c:axPos val="r"/>
        <c:title>
          <c:tx>
            <c:rich>
              <a:bodyPr rot="-5400000" spcFirstLastPara="1" vertOverflow="ellipsis" vert="horz" wrap="square" anchor="ctr" anchorCtr="1"/>
              <a:lstStyle/>
              <a:p>
                <a:pPr>
                  <a:defRPr sz="1000" b="1" i="0" u="none" strike="noStrike" kern="1200" baseline="0">
                    <a:solidFill>
                      <a:schemeClr val="tx1">
                        <a:lumMod val="65000"/>
                        <a:lumOff val="35000"/>
                      </a:schemeClr>
                    </a:solidFill>
                    <a:latin typeface="+mn-lt"/>
                    <a:ea typeface="+mn-ea"/>
                    <a:cs typeface="+mn-cs"/>
                  </a:defRPr>
                </a:pPr>
                <a:r>
                  <a:rPr lang="en-US" b="1"/>
                  <a:t>Index (2014-16=100)</a:t>
                </a:r>
              </a:p>
            </c:rich>
          </c:tx>
          <c:layout>
            <c:manualLayout>
              <c:xMode val="edge"/>
              <c:yMode val="edge"/>
              <c:x val="0.95173911242112252"/>
              <c:y val="0.26229438911276232"/>
            </c:manualLayout>
          </c:layout>
          <c:overlay val="0"/>
          <c:spPr>
            <a:noFill/>
            <a:ln>
              <a:noFill/>
            </a:ln>
            <a:effectLst/>
          </c:spPr>
          <c:txPr>
            <a:bodyPr rot="-5400000" spcFirstLastPara="1" vertOverflow="ellipsis" vert="horz" wrap="square" anchor="ctr" anchorCtr="1"/>
            <a:lstStyle/>
            <a:p>
              <a:pPr>
                <a:defRPr sz="1000" b="1" i="0" u="none" strike="noStrike" kern="1200" baseline="0">
                  <a:solidFill>
                    <a:schemeClr val="tx1">
                      <a:lumMod val="65000"/>
                      <a:lumOff val="35000"/>
                    </a:schemeClr>
                  </a:solidFill>
                  <a:latin typeface="+mn-lt"/>
                  <a:ea typeface="+mn-ea"/>
                  <a:cs typeface="+mn-cs"/>
                </a:defRPr>
              </a:pPr>
              <a:endParaRPr lang="en-US"/>
            </a:p>
          </c:txPr>
        </c:title>
        <c:numFmt formatCode="0" sourceLinked="0"/>
        <c:majorTickMark val="out"/>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838738664"/>
        <c:crosses val="max"/>
        <c:crossBetween val="between"/>
      </c:valAx>
      <c:catAx>
        <c:axId val="838738664"/>
        <c:scaling>
          <c:orientation val="minMax"/>
        </c:scaling>
        <c:delete val="1"/>
        <c:axPos val="b"/>
        <c:majorTickMark val="out"/>
        <c:minorTickMark val="none"/>
        <c:tickLblPos val="nextTo"/>
        <c:crossAx val="838732760"/>
        <c:crosses val="autoZero"/>
        <c:auto val="1"/>
        <c:lblAlgn val="ctr"/>
        <c:lblOffset val="100"/>
        <c:noMultiLvlLbl val="0"/>
      </c:cat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strRef>
              <c:f>Sheet1!$C$32</c:f>
              <c:strCache>
                <c:ptCount val="1"/>
                <c:pt idx="0">
                  <c:v>Middle Income</c:v>
                </c:pt>
              </c:strCache>
            </c:strRef>
          </c:tx>
          <c:spPr>
            <a:ln w="28575" cap="rnd">
              <a:solidFill>
                <a:schemeClr val="accent1"/>
              </a:solidFill>
              <a:round/>
            </a:ln>
            <a:effectLst/>
          </c:spPr>
          <c:marker>
            <c:symbol val="square"/>
            <c:size val="5"/>
            <c:spPr>
              <a:solidFill>
                <a:schemeClr val="accent1"/>
              </a:solidFill>
              <a:ln w="9525">
                <a:solidFill>
                  <a:schemeClr val="accent1"/>
                </a:solidFill>
              </a:ln>
              <a:effectLst/>
            </c:spPr>
          </c:marker>
          <c:cat>
            <c:numRef>
              <c:f>Sheet1!$B$33:$B$49</c:f>
              <c:numCache>
                <c:formatCode>General</c:formatCode>
                <c:ptCount val="17"/>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pt idx="14">
                  <c:v>2019</c:v>
                </c:pt>
                <c:pt idx="15">
                  <c:v>2020</c:v>
                </c:pt>
                <c:pt idx="16">
                  <c:v>2021</c:v>
                </c:pt>
              </c:numCache>
            </c:numRef>
          </c:cat>
          <c:val>
            <c:numRef>
              <c:f>Sheet1!$C$33:$C$49</c:f>
              <c:numCache>
                <c:formatCode>0.0</c:formatCode>
                <c:ptCount val="17"/>
                <c:pt idx="0">
                  <c:v>-4.82466835379598</c:v>
                </c:pt>
                <c:pt idx="1">
                  <c:v>-0.60341079470404702</c:v>
                </c:pt>
                <c:pt idx="2">
                  <c:v>-4.4819963522441801</c:v>
                </c:pt>
                <c:pt idx="3">
                  <c:v>-8.8768392605772206</c:v>
                </c:pt>
                <c:pt idx="4">
                  <c:v>-0.13689721431905399</c:v>
                </c:pt>
                <c:pt idx="5">
                  <c:v>2.1977802728172602</c:v>
                </c:pt>
                <c:pt idx="6">
                  <c:v>-1.7986713475673599</c:v>
                </c:pt>
                <c:pt idx="7">
                  <c:v>2.9162413651621502</c:v>
                </c:pt>
                <c:pt idx="8">
                  <c:v>1.8640424594729001</c:v>
                </c:pt>
                <c:pt idx="9">
                  <c:v>4.1204332577192107</c:v>
                </c:pt>
                <c:pt idx="10">
                  <c:v>6.8586990150246701</c:v>
                </c:pt>
                <c:pt idx="11">
                  <c:v>6.5676532107006098</c:v>
                </c:pt>
                <c:pt idx="12">
                  <c:v>7.2992303986046503</c:v>
                </c:pt>
                <c:pt idx="13">
                  <c:v>4.0335771670136893</c:v>
                </c:pt>
                <c:pt idx="14">
                  <c:v>4.9394183771286801</c:v>
                </c:pt>
                <c:pt idx="15">
                  <c:v>5.7986720061557095</c:v>
                </c:pt>
                <c:pt idx="16">
                  <c:v>6.6278278997421296</c:v>
                </c:pt>
              </c:numCache>
            </c:numRef>
          </c:val>
          <c:smooth val="0"/>
          <c:extLst>
            <c:ext xmlns:c16="http://schemas.microsoft.com/office/drawing/2014/chart" uri="{C3380CC4-5D6E-409C-BE32-E72D297353CC}">
              <c16:uniqueId val="{00000000-FA94-49DC-B4BC-A7CBE62E2D4F}"/>
            </c:ext>
          </c:extLst>
        </c:ser>
        <c:ser>
          <c:idx val="1"/>
          <c:order val="1"/>
          <c:tx>
            <c:strRef>
              <c:f>Sheet1!$D$32</c:f>
              <c:strCache>
                <c:ptCount val="1"/>
                <c:pt idx="0">
                  <c:v>High Income</c:v>
                </c:pt>
              </c:strCache>
            </c:strRef>
          </c:tx>
          <c:spPr>
            <a:ln w="28575" cap="rnd">
              <a:solidFill>
                <a:srgbClr val="FF0000"/>
              </a:solidFill>
              <a:round/>
            </a:ln>
            <a:effectLst/>
          </c:spPr>
          <c:marker>
            <c:symbol val="diamond"/>
            <c:size val="6"/>
            <c:spPr>
              <a:solidFill>
                <a:schemeClr val="accent2"/>
              </a:solidFill>
              <a:ln w="9525">
                <a:solidFill>
                  <a:schemeClr val="accent2"/>
                </a:solidFill>
              </a:ln>
              <a:effectLst/>
            </c:spPr>
          </c:marker>
          <c:cat>
            <c:numRef>
              <c:f>Sheet1!$B$33:$B$49</c:f>
              <c:numCache>
                <c:formatCode>General</c:formatCode>
                <c:ptCount val="17"/>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pt idx="14">
                  <c:v>2019</c:v>
                </c:pt>
                <c:pt idx="15">
                  <c:v>2020</c:v>
                </c:pt>
                <c:pt idx="16">
                  <c:v>2021</c:v>
                </c:pt>
              </c:numCache>
            </c:numRef>
          </c:cat>
          <c:val>
            <c:numRef>
              <c:f>Sheet1!$D$33:$D$49</c:f>
              <c:numCache>
                <c:formatCode>0.0</c:formatCode>
                <c:ptCount val="17"/>
                <c:pt idx="0">
                  <c:v>17.953764868988902</c:v>
                </c:pt>
                <c:pt idx="1">
                  <c:v>15.6566244273608</c:v>
                </c:pt>
                <c:pt idx="2">
                  <c:v>11.495417575251</c:v>
                </c:pt>
                <c:pt idx="3">
                  <c:v>9.3476226246601897</c:v>
                </c:pt>
                <c:pt idx="4">
                  <c:v>11.7156183565</c:v>
                </c:pt>
                <c:pt idx="5">
                  <c:v>9.9804035853238791</c:v>
                </c:pt>
                <c:pt idx="6">
                  <c:v>7.83736150844733</c:v>
                </c:pt>
                <c:pt idx="7">
                  <c:v>9.7456525694217095</c:v>
                </c:pt>
                <c:pt idx="8">
                  <c:v>8.8507145016014288</c:v>
                </c:pt>
                <c:pt idx="9">
                  <c:v>7.4073437725939799</c:v>
                </c:pt>
                <c:pt idx="10">
                  <c:v>8.3823653868150494</c:v>
                </c:pt>
                <c:pt idx="11">
                  <c:v>9.1637088841076402</c:v>
                </c:pt>
                <c:pt idx="12">
                  <c:v>9.1843556890737901</c:v>
                </c:pt>
                <c:pt idx="13">
                  <c:v>9.7646979316943199</c:v>
                </c:pt>
                <c:pt idx="14">
                  <c:v>9.1042220067875199</c:v>
                </c:pt>
                <c:pt idx="15">
                  <c:v>7.7385484896187702</c:v>
                </c:pt>
                <c:pt idx="16">
                  <c:v>6.3209904407757795</c:v>
                </c:pt>
              </c:numCache>
            </c:numRef>
          </c:val>
          <c:smooth val="0"/>
          <c:extLst>
            <c:ext xmlns:c16="http://schemas.microsoft.com/office/drawing/2014/chart" uri="{C3380CC4-5D6E-409C-BE32-E72D297353CC}">
              <c16:uniqueId val="{00000001-FA94-49DC-B4BC-A7CBE62E2D4F}"/>
            </c:ext>
          </c:extLst>
        </c:ser>
        <c:ser>
          <c:idx val="2"/>
          <c:order val="2"/>
          <c:tx>
            <c:strRef>
              <c:f>Sheet1!$E$32</c:f>
              <c:strCache>
                <c:ptCount val="1"/>
                <c:pt idx="0">
                  <c:v>Low Income</c:v>
                </c:pt>
              </c:strCache>
            </c:strRef>
          </c:tx>
          <c:spPr>
            <a:ln w="28575" cap="rnd">
              <a:solidFill>
                <a:srgbClr val="FFC000"/>
              </a:solidFill>
              <a:round/>
            </a:ln>
            <a:effectLst/>
          </c:spPr>
          <c:marker>
            <c:symbol val="triangle"/>
            <c:size val="5"/>
            <c:spPr>
              <a:solidFill>
                <a:schemeClr val="accent3"/>
              </a:solidFill>
              <a:ln w="9525">
                <a:solidFill>
                  <a:schemeClr val="accent3"/>
                </a:solidFill>
              </a:ln>
              <a:effectLst/>
            </c:spPr>
          </c:marker>
          <c:cat>
            <c:numRef>
              <c:f>Sheet1!$B$33:$B$49</c:f>
              <c:numCache>
                <c:formatCode>General</c:formatCode>
                <c:ptCount val="17"/>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pt idx="14">
                  <c:v>2019</c:v>
                </c:pt>
                <c:pt idx="15">
                  <c:v>2020</c:v>
                </c:pt>
                <c:pt idx="16">
                  <c:v>2021</c:v>
                </c:pt>
              </c:numCache>
            </c:numRef>
          </c:cat>
          <c:val>
            <c:numRef>
              <c:f>Sheet1!$E$33:$E$49</c:f>
              <c:numCache>
                <c:formatCode>0.0</c:formatCode>
                <c:ptCount val="17"/>
                <c:pt idx="0">
                  <c:v>-25.4125719482874</c:v>
                </c:pt>
                <c:pt idx="1">
                  <c:v>-29.445663576704302</c:v>
                </c:pt>
                <c:pt idx="2">
                  <c:v>-26.060639887235499</c:v>
                </c:pt>
                <c:pt idx="3">
                  <c:v>-5.6509302425402002</c:v>
                </c:pt>
                <c:pt idx="4">
                  <c:v>-13.442774361388498</c:v>
                </c:pt>
                <c:pt idx="5">
                  <c:v>-20.9236899938969</c:v>
                </c:pt>
                <c:pt idx="6">
                  <c:v>-13.236603656575999</c:v>
                </c:pt>
                <c:pt idx="7">
                  <c:v>-4.3832965390317193</c:v>
                </c:pt>
                <c:pt idx="8">
                  <c:v>-10.6429025838108</c:v>
                </c:pt>
                <c:pt idx="9">
                  <c:v>-16.076359337752798</c:v>
                </c:pt>
                <c:pt idx="10">
                  <c:v>-17.0478976357915</c:v>
                </c:pt>
                <c:pt idx="11">
                  <c:v>-20.164471699994898</c:v>
                </c:pt>
                <c:pt idx="12">
                  <c:v>-12.076350446533199</c:v>
                </c:pt>
                <c:pt idx="13">
                  <c:v>-11.1797080762958</c:v>
                </c:pt>
                <c:pt idx="14">
                  <c:v>-17.413337855597501</c:v>
                </c:pt>
                <c:pt idx="15">
                  <c:v>-8.2900964503362005</c:v>
                </c:pt>
                <c:pt idx="16">
                  <c:v>-32.778514623867103</c:v>
                </c:pt>
              </c:numCache>
            </c:numRef>
          </c:val>
          <c:smooth val="0"/>
          <c:extLst>
            <c:ext xmlns:c16="http://schemas.microsoft.com/office/drawing/2014/chart" uri="{C3380CC4-5D6E-409C-BE32-E72D297353CC}">
              <c16:uniqueId val="{00000002-FA94-49DC-B4BC-A7CBE62E2D4F}"/>
            </c:ext>
          </c:extLst>
        </c:ser>
        <c:dLbls>
          <c:showLegendKey val="0"/>
          <c:showVal val="0"/>
          <c:showCatName val="0"/>
          <c:showSerName val="0"/>
          <c:showPercent val="0"/>
          <c:showBubbleSize val="0"/>
        </c:dLbls>
        <c:marker val="1"/>
        <c:smooth val="0"/>
        <c:axId val="374411056"/>
        <c:axId val="374410072"/>
      </c:lineChart>
      <c:catAx>
        <c:axId val="37441105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74410072"/>
        <c:crosses val="autoZero"/>
        <c:auto val="1"/>
        <c:lblAlgn val="ctr"/>
        <c:lblOffset val="100"/>
        <c:noMultiLvlLbl val="0"/>
      </c:catAx>
      <c:valAx>
        <c:axId val="374410072"/>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 points</a:t>
                </a: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74411056"/>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Global NRA by component, %</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areaChart>
        <c:grouping val="stacked"/>
        <c:varyColors val="0"/>
        <c:ser>
          <c:idx val="0"/>
          <c:order val="0"/>
          <c:tx>
            <c:strRef>
              <c:f>Sheet1!$B$59</c:f>
              <c:strCache>
                <c:ptCount val="1"/>
                <c:pt idx="0">
                  <c:v>Others</c:v>
                </c:pt>
              </c:strCache>
            </c:strRef>
          </c:tx>
          <c:spPr>
            <a:blipFill>
              <a:blip xmlns:r="http://schemas.openxmlformats.org/officeDocument/2006/relationships" r:embed="rId3"/>
              <a:tile tx="0" ty="0" sx="100000" sy="100000" flip="none" algn="tl"/>
            </a:blipFill>
            <a:ln>
              <a:noFill/>
            </a:ln>
            <a:effectLst/>
          </c:spPr>
          <c:cat>
            <c:numRef>
              <c:f>Sheet1!$A$60:$A$76</c:f>
              <c:numCache>
                <c:formatCode>General</c:formatCode>
                <c:ptCount val="17"/>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pt idx="14">
                  <c:v>2019</c:v>
                </c:pt>
                <c:pt idx="15">
                  <c:v>2020</c:v>
                </c:pt>
                <c:pt idx="16">
                  <c:v>2021</c:v>
                </c:pt>
              </c:numCache>
            </c:numRef>
          </c:cat>
          <c:val>
            <c:numRef>
              <c:f>Sheet1!$B$60:$B$76</c:f>
              <c:numCache>
                <c:formatCode>0.0</c:formatCode>
                <c:ptCount val="17"/>
                <c:pt idx="0">
                  <c:v>5.1504655923588798</c:v>
                </c:pt>
                <c:pt idx="1">
                  <c:v>5.4594625440642801</c:v>
                </c:pt>
                <c:pt idx="2">
                  <c:v>4.8246816894788198</c:v>
                </c:pt>
                <c:pt idx="3">
                  <c:v>4.7639062534985195</c:v>
                </c:pt>
                <c:pt idx="4">
                  <c:v>5.1169992442360801</c:v>
                </c:pt>
                <c:pt idx="5">
                  <c:v>4.3174219248260099</c:v>
                </c:pt>
                <c:pt idx="6">
                  <c:v>4.1222302838100999</c:v>
                </c:pt>
                <c:pt idx="7">
                  <c:v>3.9725416176321797</c:v>
                </c:pt>
                <c:pt idx="8">
                  <c:v>3.8537928777280501</c:v>
                </c:pt>
                <c:pt idx="9">
                  <c:v>3.8174576291245597</c:v>
                </c:pt>
                <c:pt idx="10">
                  <c:v>3.81026523063918</c:v>
                </c:pt>
                <c:pt idx="11">
                  <c:v>4.10464222207119</c:v>
                </c:pt>
                <c:pt idx="12">
                  <c:v>4.1315248316031399</c:v>
                </c:pt>
                <c:pt idx="13">
                  <c:v>4.1793537391138704</c:v>
                </c:pt>
                <c:pt idx="14">
                  <c:v>4.8306313748084904</c:v>
                </c:pt>
                <c:pt idx="15">
                  <c:v>4.9760042626758603</c:v>
                </c:pt>
                <c:pt idx="16">
                  <c:v>4.6464650430437002</c:v>
                </c:pt>
              </c:numCache>
            </c:numRef>
          </c:val>
          <c:extLst>
            <c:ext xmlns:c16="http://schemas.microsoft.com/office/drawing/2014/chart" uri="{C3380CC4-5D6E-409C-BE32-E72D297353CC}">
              <c16:uniqueId val="{00000000-197D-49E4-88C4-B0D07B67EC89}"/>
            </c:ext>
          </c:extLst>
        </c:ser>
        <c:ser>
          <c:idx val="1"/>
          <c:order val="1"/>
          <c:tx>
            <c:strRef>
              <c:f>Sheet1!$C$59</c:f>
              <c:strCache>
                <c:ptCount val="1"/>
                <c:pt idx="0">
                  <c:v>Inputs</c:v>
                </c:pt>
              </c:strCache>
            </c:strRef>
          </c:tx>
          <c:spPr>
            <a:solidFill>
              <a:srgbClr val="BCDCCD"/>
            </a:solidFill>
            <a:ln>
              <a:noFill/>
            </a:ln>
            <a:effectLst/>
          </c:spPr>
          <c:cat>
            <c:numRef>
              <c:f>Sheet1!$A$60:$A$76</c:f>
              <c:numCache>
                <c:formatCode>General</c:formatCode>
                <c:ptCount val="17"/>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pt idx="14">
                  <c:v>2019</c:v>
                </c:pt>
                <c:pt idx="15">
                  <c:v>2020</c:v>
                </c:pt>
                <c:pt idx="16">
                  <c:v>2021</c:v>
                </c:pt>
              </c:numCache>
            </c:numRef>
          </c:cat>
          <c:val>
            <c:numRef>
              <c:f>Sheet1!$C$60:$C$76</c:f>
              <c:numCache>
                <c:formatCode>0.0</c:formatCode>
                <c:ptCount val="17"/>
                <c:pt idx="0">
                  <c:v>3.3519980786378003</c:v>
                </c:pt>
                <c:pt idx="1">
                  <c:v>3.5416053122943101</c:v>
                </c:pt>
                <c:pt idx="2">
                  <c:v>3.3583430803865402</c:v>
                </c:pt>
                <c:pt idx="3">
                  <c:v>3.3147296660930401</c:v>
                </c:pt>
                <c:pt idx="4">
                  <c:v>3.4699658022811399</c:v>
                </c:pt>
                <c:pt idx="5">
                  <c:v>2.96795895854655</c:v>
                </c:pt>
                <c:pt idx="6">
                  <c:v>2.6898487529325799</c:v>
                </c:pt>
                <c:pt idx="7">
                  <c:v>2.76381100615282</c:v>
                </c:pt>
                <c:pt idx="8">
                  <c:v>2.5693013988915099</c:v>
                </c:pt>
                <c:pt idx="9">
                  <c:v>2.55092680063481</c:v>
                </c:pt>
                <c:pt idx="10">
                  <c:v>2.78808145679012</c:v>
                </c:pt>
                <c:pt idx="11">
                  <c:v>2.6730638557591497</c:v>
                </c:pt>
                <c:pt idx="12">
                  <c:v>2.7540218039115199</c:v>
                </c:pt>
                <c:pt idx="13">
                  <c:v>2.6907728945222802</c:v>
                </c:pt>
                <c:pt idx="14">
                  <c:v>2.6149479347259801</c:v>
                </c:pt>
                <c:pt idx="15">
                  <c:v>2.7626564468806603</c:v>
                </c:pt>
                <c:pt idx="16">
                  <c:v>2.7093140525948201</c:v>
                </c:pt>
              </c:numCache>
            </c:numRef>
          </c:val>
          <c:extLst>
            <c:ext xmlns:c16="http://schemas.microsoft.com/office/drawing/2014/chart" uri="{C3380CC4-5D6E-409C-BE32-E72D297353CC}">
              <c16:uniqueId val="{00000001-197D-49E4-88C4-B0D07B67EC89}"/>
            </c:ext>
          </c:extLst>
        </c:ser>
        <c:ser>
          <c:idx val="2"/>
          <c:order val="2"/>
          <c:tx>
            <c:strRef>
              <c:f>Sheet1!$D$59</c:f>
              <c:strCache>
                <c:ptCount val="1"/>
                <c:pt idx="0">
                  <c:v>Outputs</c:v>
                </c:pt>
              </c:strCache>
            </c:strRef>
          </c:tx>
          <c:spPr>
            <a:solidFill>
              <a:schemeClr val="accent3"/>
            </a:solidFill>
            <a:ln>
              <a:noFill/>
            </a:ln>
            <a:effectLst/>
          </c:spPr>
          <c:cat>
            <c:numRef>
              <c:f>Sheet1!$A$60:$A$76</c:f>
              <c:numCache>
                <c:formatCode>General</c:formatCode>
                <c:ptCount val="17"/>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pt idx="14">
                  <c:v>2019</c:v>
                </c:pt>
                <c:pt idx="15">
                  <c:v>2020</c:v>
                </c:pt>
                <c:pt idx="16">
                  <c:v>2021</c:v>
                </c:pt>
              </c:numCache>
            </c:numRef>
          </c:cat>
          <c:val>
            <c:numRef>
              <c:f>Sheet1!$D$60:$D$76</c:f>
              <c:numCache>
                <c:formatCode>0.0</c:formatCode>
                <c:ptCount val="17"/>
                <c:pt idx="0">
                  <c:v>1.0042457431902601</c:v>
                </c:pt>
                <c:pt idx="1">
                  <c:v>0.50888809089017795</c:v>
                </c:pt>
                <c:pt idx="2">
                  <c:v>0.30406139885151201</c:v>
                </c:pt>
                <c:pt idx="3">
                  <c:v>0.29268453630967201</c:v>
                </c:pt>
                <c:pt idx="4">
                  <c:v>0.27419997432672699</c:v>
                </c:pt>
                <c:pt idx="5">
                  <c:v>0.21515780938916501</c:v>
                </c:pt>
                <c:pt idx="6">
                  <c:v>0.20255103812033101</c:v>
                </c:pt>
                <c:pt idx="7">
                  <c:v>0.21414369579652098</c:v>
                </c:pt>
                <c:pt idx="8">
                  <c:v>0.21952185247332801</c:v>
                </c:pt>
                <c:pt idx="9">
                  <c:v>0.18894044075972199</c:v>
                </c:pt>
                <c:pt idx="10">
                  <c:v>0.27958377640325205</c:v>
                </c:pt>
                <c:pt idx="11">
                  <c:v>0.27352298633665401</c:v>
                </c:pt>
                <c:pt idx="12">
                  <c:v>0.26942949833492402</c:v>
                </c:pt>
                <c:pt idx="13">
                  <c:v>0.48024647019931199</c:v>
                </c:pt>
                <c:pt idx="14">
                  <c:v>0.210468664747754</c:v>
                </c:pt>
                <c:pt idx="15">
                  <c:v>0.418169355227202</c:v>
                </c:pt>
                <c:pt idx="16">
                  <c:v>0.59525852316173</c:v>
                </c:pt>
              </c:numCache>
            </c:numRef>
          </c:val>
          <c:extLst>
            <c:ext xmlns:c16="http://schemas.microsoft.com/office/drawing/2014/chart" uri="{C3380CC4-5D6E-409C-BE32-E72D297353CC}">
              <c16:uniqueId val="{00000002-197D-49E4-88C4-B0D07B67EC89}"/>
            </c:ext>
          </c:extLst>
        </c:ser>
        <c:ser>
          <c:idx val="3"/>
          <c:order val="3"/>
          <c:tx>
            <c:strRef>
              <c:f>Sheet1!$E$59</c:f>
              <c:strCache>
                <c:ptCount val="1"/>
                <c:pt idx="0">
                  <c:v>NRP</c:v>
                </c:pt>
              </c:strCache>
            </c:strRef>
          </c:tx>
          <c:spPr>
            <a:pattFill prst="smCheck">
              <a:fgClr>
                <a:schemeClr val="accent1"/>
              </a:fgClr>
              <a:bgClr>
                <a:schemeClr val="bg1"/>
              </a:bgClr>
            </a:pattFill>
            <a:ln>
              <a:noFill/>
            </a:ln>
            <a:effectLst/>
          </c:spPr>
          <c:cat>
            <c:numRef>
              <c:f>Sheet1!$A$60:$A$76</c:f>
              <c:numCache>
                <c:formatCode>General</c:formatCode>
                <c:ptCount val="17"/>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pt idx="14">
                  <c:v>2019</c:v>
                </c:pt>
                <c:pt idx="15">
                  <c:v>2020</c:v>
                </c:pt>
                <c:pt idx="16">
                  <c:v>2021</c:v>
                </c:pt>
              </c:numCache>
            </c:numRef>
          </c:cat>
          <c:val>
            <c:numRef>
              <c:f>Sheet1!$E$60:$E$76</c:f>
              <c:numCache>
                <c:formatCode>0.0</c:formatCode>
                <c:ptCount val="17"/>
                <c:pt idx="0">
                  <c:v>4.0658280834900005</c:v>
                </c:pt>
                <c:pt idx="1">
                  <c:v>5.3215995606600002</c:v>
                </c:pt>
                <c:pt idx="2">
                  <c:v>1.6254622473354901</c:v>
                </c:pt>
                <c:pt idx="3">
                  <c:v>-1.75821567438517</c:v>
                </c:pt>
                <c:pt idx="4">
                  <c:v>3.8894797230610996</c:v>
                </c:pt>
                <c:pt idx="5">
                  <c:v>4.4653226991183503</c:v>
                </c:pt>
                <c:pt idx="6">
                  <c:v>1.34783203902279</c:v>
                </c:pt>
                <c:pt idx="7">
                  <c:v>5.1130497789216003</c:v>
                </c:pt>
                <c:pt idx="8">
                  <c:v>3.9495955808692895</c:v>
                </c:pt>
                <c:pt idx="9">
                  <c:v>4.7861134060642403</c:v>
                </c:pt>
                <c:pt idx="10">
                  <c:v>6.7959341740951906</c:v>
                </c:pt>
                <c:pt idx="11">
                  <c:v>6.73761563426077</c:v>
                </c:pt>
                <c:pt idx="12">
                  <c:v>7.4606953649226</c:v>
                </c:pt>
                <c:pt idx="13">
                  <c:v>5.4976915991073696</c:v>
                </c:pt>
                <c:pt idx="14">
                  <c:v>5.6677777015723203</c:v>
                </c:pt>
                <c:pt idx="15">
                  <c:v>6.1863750114816298</c:v>
                </c:pt>
                <c:pt idx="16">
                  <c:v>5.9878050111183398</c:v>
                </c:pt>
              </c:numCache>
            </c:numRef>
          </c:val>
          <c:extLst>
            <c:ext xmlns:c16="http://schemas.microsoft.com/office/drawing/2014/chart" uri="{C3380CC4-5D6E-409C-BE32-E72D297353CC}">
              <c16:uniqueId val="{00000003-197D-49E4-88C4-B0D07B67EC89}"/>
            </c:ext>
          </c:extLst>
        </c:ser>
        <c:dLbls>
          <c:showLegendKey val="0"/>
          <c:showVal val="0"/>
          <c:showCatName val="0"/>
          <c:showSerName val="0"/>
          <c:showPercent val="0"/>
          <c:showBubbleSize val="0"/>
        </c:dLbls>
        <c:axId val="720124904"/>
        <c:axId val="720131136"/>
      </c:areaChart>
      <c:catAx>
        <c:axId val="720124904"/>
        <c:scaling>
          <c:orientation val="minMax"/>
        </c:scaling>
        <c:delete val="0"/>
        <c:axPos val="b"/>
        <c:numFmt formatCode="General" sourceLinked="1"/>
        <c:majorTickMark val="out"/>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720131136"/>
        <c:crosses val="autoZero"/>
        <c:auto val="1"/>
        <c:lblAlgn val="ctr"/>
        <c:lblOffset val="100"/>
        <c:noMultiLvlLbl val="0"/>
      </c:catAx>
      <c:valAx>
        <c:axId val="720131136"/>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1" i="0" u="none" strike="noStrike" kern="1200" baseline="0">
                    <a:solidFill>
                      <a:schemeClr val="tx1">
                        <a:lumMod val="65000"/>
                        <a:lumOff val="35000"/>
                      </a:schemeClr>
                    </a:solidFill>
                    <a:latin typeface="+mn-lt"/>
                    <a:ea typeface="+mn-ea"/>
                    <a:cs typeface="+mn-cs"/>
                  </a:defRPr>
                </a:pPr>
                <a:r>
                  <a:rPr lang="en-US" b="1"/>
                  <a:t>% </a:t>
                </a:r>
              </a:p>
            </c:rich>
          </c:tx>
          <c:layout>
            <c:manualLayout>
              <c:xMode val="edge"/>
              <c:yMode val="edge"/>
              <c:x val="1.7439324349004363E-2"/>
              <c:y val="0.4393647525043432"/>
            </c:manualLayout>
          </c:layout>
          <c:overlay val="0"/>
          <c:spPr>
            <a:noFill/>
            <a:ln>
              <a:noFill/>
            </a:ln>
            <a:effectLst/>
          </c:spPr>
          <c:txPr>
            <a:bodyPr rot="-5400000" spcFirstLastPara="1" vertOverflow="ellipsis" vert="horz" wrap="square" anchor="ctr" anchorCtr="1"/>
            <a:lstStyle/>
            <a:p>
              <a:pPr>
                <a:defRPr sz="1000" b="1" i="0" u="none" strike="noStrike" kern="1200" baseline="0">
                  <a:solidFill>
                    <a:schemeClr val="tx1">
                      <a:lumMod val="65000"/>
                      <a:lumOff val="35000"/>
                    </a:schemeClr>
                  </a:solidFill>
                  <a:latin typeface="+mn-lt"/>
                  <a:ea typeface="+mn-ea"/>
                  <a:cs typeface="+mn-cs"/>
                </a:defRPr>
              </a:pPr>
              <a:endParaRPr lang="en-US"/>
            </a:p>
          </c:txPr>
        </c:title>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720124904"/>
        <c:crosses val="autoZero"/>
        <c:crossBetween val="midCat"/>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zero"/>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7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ln w="9525" cap="flat" cmpd="sng" algn="ctr">
        <a:solidFill>
          <a:schemeClr val="tx1">
            <a:lumMod val="15000"/>
            <a:lumOff val="85000"/>
          </a:schemeClr>
        </a:solidFill>
        <a:round/>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iagrams/colors1.xml><?xml version="1.0" encoding="utf-8"?>
<dgm:colorsDef xmlns:dgm="http://schemas.openxmlformats.org/drawingml/2006/diagram" xmlns:a="http://schemas.openxmlformats.org/drawingml/2006/main" uniqueId="urn:microsoft.com/office/officeart/2005/8/colors/accent2_2">
  <dgm:title val=""/>
  <dgm:desc val=""/>
  <dgm:catLst>
    <dgm:cat type="accent2" pri="11200"/>
  </dgm:catLst>
  <dgm:styleLbl name="node0">
    <dgm:fillClrLst meth="repeat">
      <a:schemeClr val="accent2"/>
    </dgm:fillClrLst>
    <dgm:linClrLst meth="repeat">
      <a:schemeClr val="lt1"/>
    </dgm:linClrLst>
    <dgm:effectClrLst/>
    <dgm:txLinClrLst/>
    <dgm:txFillClrLst/>
    <dgm:txEffectClrLst/>
  </dgm:styleLbl>
  <dgm:styleLbl name="node1">
    <dgm:fillClrLst meth="repeat">
      <a:schemeClr val="accent2"/>
    </dgm:fillClrLst>
    <dgm:linClrLst meth="repeat">
      <a:schemeClr val="lt1"/>
    </dgm:linClrLst>
    <dgm:effectClrLst/>
    <dgm:txLinClrLst/>
    <dgm:txFillClrLst/>
    <dgm:txEffectClrLst/>
  </dgm:styleLbl>
  <dgm:styleLbl name="alignNode1">
    <dgm:fillClrLst meth="repeat">
      <a:schemeClr val="accent2"/>
    </dgm:fillClrLst>
    <dgm:linClrLst meth="repeat">
      <a:schemeClr val="accent2"/>
    </dgm:linClrLst>
    <dgm:effectClrLst/>
    <dgm:txLinClrLst/>
    <dgm:txFillClrLst/>
    <dgm:txEffectClrLst/>
  </dgm:styleLbl>
  <dgm:styleLbl name="lnNode1">
    <dgm:fillClrLst meth="repeat">
      <a:schemeClr val="accent2"/>
    </dgm:fillClrLst>
    <dgm:linClrLst meth="repeat">
      <a:schemeClr val="lt1"/>
    </dgm:linClrLst>
    <dgm:effectClrLst/>
    <dgm:txLinClrLst/>
    <dgm:txFillClrLst/>
    <dgm:txEffectClrLst/>
  </dgm:styleLbl>
  <dgm:styleLbl name="vennNode1">
    <dgm:fillClrLst meth="repeat">
      <a:schemeClr val="accent2">
        <a:alpha val="50000"/>
      </a:schemeClr>
    </dgm:fillClrLst>
    <dgm:linClrLst meth="repeat">
      <a:schemeClr val="lt1"/>
    </dgm:linClrLst>
    <dgm:effectClrLst/>
    <dgm:txLinClrLst/>
    <dgm:txFillClrLst/>
    <dgm:txEffectClrLst/>
  </dgm:styleLbl>
  <dgm:styleLbl name="node2">
    <dgm:fillClrLst meth="repeat">
      <a:schemeClr val="accent2"/>
    </dgm:fillClrLst>
    <dgm:linClrLst meth="repeat">
      <a:schemeClr val="lt1"/>
    </dgm:linClrLst>
    <dgm:effectClrLst/>
    <dgm:txLinClrLst/>
    <dgm:txFillClrLst/>
    <dgm:txEffectClrLst/>
  </dgm:styleLbl>
  <dgm:styleLbl name="node3">
    <dgm:fillClrLst meth="repeat">
      <a:schemeClr val="accent2"/>
    </dgm:fillClrLst>
    <dgm:linClrLst meth="repeat">
      <a:schemeClr val="lt1"/>
    </dgm:linClrLst>
    <dgm:effectClrLst/>
    <dgm:txLinClrLst/>
    <dgm:txFillClrLst/>
    <dgm:txEffectClrLst/>
  </dgm:styleLbl>
  <dgm:styleLbl name="node4">
    <dgm:fillClrLst meth="repeat">
      <a:schemeClr val="accent2"/>
    </dgm:fillClrLst>
    <dgm:linClrLst meth="repeat">
      <a:schemeClr val="lt1"/>
    </dgm:linClrLst>
    <dgm:effectClrLst/>
    <dgm:txLinClrLst/>
    <dgm:txFillClrLst/>
    <dgm:txEffectClrLst/>
  </dgm:styleLbl>
  <dgm:styleLbl name="fgImgPlace1">
    <dgm:fillClrLst meth="repeat">
      <a:schemeClr val="accent2">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2">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2">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tint val="60000"/>
      </a:schemeClr>
    </dgm:fillClrLst>
    <dgm:linClrLst meth="repeat">
      <a:schemeClr val="accent2">
        <a:tint val="60000"/>
      </a:schemeClr>
    </dgm:linClrLst>
    <dgm:effectClrLst/>
    <dgm:txLinClrLst/>
    <dgm:txFillClrLst/>
    <dgm:txEffectClrLst/>
  </dgm:styleLbl>
  <dgm:styleLbl name="fgSibTrans2D1">
    <dgm:fillClrLst meth="repeat">
      <a:schemeClr val="accent2">
        <a:tint val="60000"/>
      </a:schemeClr>
    </dgm:fillClrLst>
    <dgm:linClrLst meth="repeat">
      <a:schemeClr val="accent2">
        <a:tint val="60000"/>
      </a:schemeClr>
    </dgm:linClrLst>
    <dgm:effectClrLst/>
    <dgm:txLinClrLst/>
    <dgm:txFillClrLst/>
    <dgm:txEffectClrLst/>
  </dgm:styleLbl>
  <dgm:styleLbl name="bgSibTrans2D1">
    <dgm:fillClrLst meth="repeat">
      <a:schemeClr val="accent2">
        <a:tint val="60000"/>
      </a:schemeClr>
    </dgm:fillClrLst>
    <dgm:linClrLst meth="repeat">
      <a:schemeClr val="accent2">
        <a:tint val="60000"/>
      </a:schemeClr>
    </dgm:linClrLst>
    <dgm:effectClrLst/>
    <dgm:txLinClrLst/>
    <dgm:txFillClrLst/>
    <dgm:txEffectClrLst/>
  </dgm:styleLbl>
  <dgm:styleLbl name="sibTrans1D1">
    <dgm:fillClrLst meth="repeat">
      <a:schemeClr val="accent2"/>
    </dgm:fillClrLst>
    <dgm:linClrLst meth="repeat">
      <a:schemeClr val="accent2"/>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2"/>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meth="repeat">
      <a:schemeClr val="accent2"/>
    </dgm:fillClrLst>
    <dgm:linClrLst meth="repeat">
      <a:schemeClr val="lt1"/>
    </dgm:linClrLst>
    <dgm:effectClrLst/>
    <dgm:txLinClrLst/>
    <dgm:txFillClrLst/>
    <dgm:txEffectClrLst/>
  </dgm:styleLbl>
  <dgm:styleLbl name="asst3">
    <dgm:fillClrLst meth="repeat">
      <a:schemeClr val="accent2"/>
    </dgm:fillClrLst>
    <dgm:linClrLst meth="repeat">
      <a:schemeClr val="lt1"/>
    </dgm:linClrLst>
    <dgm:effectClrLst/>
    <dgm:txLinClrLst/>
    <dgm:txFillClrLst/>
    <dgm:txEffectClrLst/>
  </dgm:styleLbl>
  <dgm:styleLbl name="asst4">
    <dgm:fillClrLst meth="repeat">
      <a:schemeClr val="accent2"/>
    </dgm:fillClrLst>
    <dgm:linClrLst meth="repeat">
      <a:schemeClr val="lt1"/>
    </dgm:linClrLst>
    <dgm:effectClrLst/>
    <dgm:txLinClrLst/>
    <dgm:txFillClrLst/>
    <dgm:txEffectClrLst/>
  </dgm:styleLbl>
  <dgm:styleLbl name="parChTrans2D1">
    <dgm:fillClrLst meth="repeat">
      <a:schemeClr val="accent2">
        <a:tint val="60000"/>
      </a:schemeClr>
    </dgm:fillClrLst>
    <dgm:linClrLst meth="repeat">
      <a:schemeClr val="accent2">
        <a:tint val="60000"/>
      </a:schemeClr>
    </dgm:linClrLst>
    <dgm:effectClrLst/>
    <dgm:txLinClrLst/>
    <dgm:txFillClrLst meth="repeat">
      <a:schemeClr val="lt1"/>
    </dgm:txFillClrLst>
    <dgm:txEffectClrLst/>
  </dgm:styleLbl>
  <dgm:styleLbl name="parChTrans2D2">
    <dgm:fillClrLst meth="repeat">
      <a:schemeClr val="accent2"/>
    </dgm:fillClrLst>
    <dgm:linClrLst meth="repeat">
      <a:schemeClr val="accent2"/>
    </dgm:linClrLst>
    <dgm:effectClrLst/>
    <dgm:txLinClrLst/>
    <dgm:txFillClrLst meth="repeat">
      <a:schemeClr val="lt1"/>
    </dgm:txFillClrLst>
    <dgm:txEffectClrLst/>
  </dgm:styleLbl>
  <dgm:styleLbl name="parChTrans2D3">
    <dgm:fillClrLst meth="repeat">
      <a:schemeClr val="accent2"/>
    </dgm:fillClrLst>
    <dgm:linClrLst meth="repeat">
      <a:schemeClr val="accent2"/>
    </dgm:linClrLst>
    <dgm:effectClrLst/>
    <dgm:txLinClrLst/>
    <dgm:txFillClrLst meth="repeat">
      <a:schemeClr val="lt1"/>
    </dgm:txFillClrLst>
    <dgm:txEffectClrLst/>
  </dgm:styleLbl>
  <dgm:styleLbl name="parChTrans2D4">
    <dgm:fillClrLst meth="repeat">
      <a:schemeClr val="accent2"/>
    </dgm:fillClrLst>
    <dgm:linClrLst meth="repeat">
      <a:schemeClr val="accent2"/>
    </dgm:linClrLst>
    <dgm:effectClrLst/>
    <dgm:txLinClrLst/>
    <dgm:txFillClrLst meth="repeat">
      <a:schemeClr val="lt1"/>
    </dgm:txFillClrLst>
    <dgm:txEffectClrLst/>
  </dgm:styleLbl>
  <dgm:styleLbl name="parChTrans1D1">
    <dgm:fillClrLst meth="repeat">
      <a:schemeClr val="accent2"/>
    </dgm:fillClrLst>
    <dgm:linClrLst meth="repeat">
      <a:schemeClr val="accent2">
        <a:shade val="60000"/>
      </a:schemeClr>
    </dgm:linClrLst>
    <dgm:effectClrLst/>
    <dgm:txLinClrLst/>
    <dgm:txFillClrLst meth="repeat">
      <a:schemeClr val="tx1"/>
    </dgm:txFillClrLst>
    <dgm:txEffectClrLst/>
  </dgm:styleLbl>
  <dgm:styleLbl name="parChTrans1D2">
    <dgm:fillClrLst meth="repeat">
      <a:schemeClr val="accent2"/>
    </dgm:fillClrLst>
    <dgm:linClrLst meth="repeat">
      <a:schemeClr val="accent2">
        <a:shade val="60000"/>
      </a:schemeClr>
    </dgm:linClrLst>
    <dgm:effectClrLst/>
    <dgm:txLinClrLst/>
    <dgm:txFillClrLst meth="repeat">
      <a:schemeClr val="tx1"/>
    </dgm:txFillClrLst>
    <dgm:txEffectClrLst/>
  </dgm:styleLbl>
  <dgm:styleLbl name="parChTrans1D3">
    <dgm:fillClrLst meth="repeat">
      <a:schemeClr val="accent2"/>
    </dgm:fillClrLst>
    <dgm:linClrLst meth="repeat">
      <a:schemeClr val="accent2">
        <a:shade val="80000"/>
      </a:schemeClr>
    </dgm:linClrLst>
    <dgm:effectClrLst/>
    <dgm:txLinClrLst/>
    <dgm:txFillClrLst meth="repeat">
      <a:schemeClr val="tx1"/>
    </dgm:txFillClrLst>
    <dgm:txEffectClrLst/>
  </dgm:styleLbl>
  <dgm:styleLbl name="parChTrans1D4">
    <dgm:fillClrLst meth="repeat">
      <a:schemeClr val="accent2"/>
    </dgm:fillClrLst>
    <dgm:linClrLst meth="repeat">
      <a:schemeClr val="accent2">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solidFgAcc1">
    <dgm:fillClrLst meth="repeat">
      <a:schemeClr val="lt1"/>
    </dgm:fillClrLst>
    <dgm:linClrLst meth="repeat">
      <a:schemeClr val="accent2"/>
    </dgm:linClrLst>
    <dgm:effectClrLst/>
    <dgm:txLinClrLst/>
    <dgm:txFillClrLst meth="repeat">
      <a:schemeClr val="dk1"/>
    </dgm:txFillClrLst>
    <dgm:txEffectClrLst/>
  </dgm:styleLbl>
  <dgm:styleLbl name="solidAlignAcc1">
    <dgm:fillClrLst meth="repeat">
      <a:schemeClr val="lt1"/>
    </dgm:fillClrLst>
    <dgm:linClrLst meth="repeat">
      <a:schemeClr val="accent2"/>
    </dgm:linClrLst>
    <dgm:effectClrLst/>
    <dgm:txLinClrLst/>
    <dgm:txFillClrLst meth="repeat">
      <a:schemeClr val="dk1"/>
    </dgm:txFillClrLst>
    <dgm:txEffectClrLst/>
  </dgm:styleLbl>
  <dgm:styleLbl name="solidBgAcc1">
    <dgm:fillClrLst meth="repeat">
      <a:schemeClr val="lt1"/>
    </dgm:fillClrLst>
    <dgm:linClrLst meth="repeat">
      <a:schemeClr val="accent2"/>
    </dgm:linClrLst>
    <dgm:effectClrLst/>
    <dgm:txLinClrLst/>
    <dgm:txFillClrLst meth="repeat">
      <a:schemeClr val="dk1"/>
    </dgm:txFillClrLst>
    <dgm:txEffectClrLst/>
  </dgm:styleLbl>
  <dgm:styleLbl name="fgAccFollowNode1">
    <dgm:fillClrLst meth="repeat">
      <a:schemeClr val="accent2">
        <a:alpha val="90000"/>
        <a:tint val="40000"/>
      </a:schemeClr>
    </dgm:fillClrLst>
    <dgm:linClrLst meth="repeat">
      <a:schemeClr val="accent2">
        <a:alpha val="90000"/>
        <a:tint val="40000"/>
      </a:schemeClr>
    </dgm:linClrLst>
    <dgm:effectClrLst/>
    <dgm:txLinClrLst/>
    <dgm:txFillClrLst meth="repeat">
      <a:schemeClr val="dk1"/>
    </dgm:txFillClrLst>
    <dgm:txEffectClrLst/>
  </dgm:styleLbl>
  <dgm:styleLbl name="alignAccFollowNode1">
    <dgm:fillClrLst meth="repeat">
      <a:schemeClr val="accent2">
        <a:alpha val="90000"/>
        <a:tint val="40000"/>
      </a:schemeClr>
    </dgm:fillClrLst>
    <dgm:linClrLst meth="repeat">
      <a:schemeClr val="accent2">
        <a:alpha val="90000"/>
        <a:tint val="40000"/>
      </a:schemeClr>
    </dgm:linClrLst>
    <dgm:effectClrLst/>
    <dgm:txLinClrLst/>
    <dgm:txFillClrLst meth="repeat">
      <a:schemeClr val="dk1"/>
    </dgm:txFillClrLst>
    <dgm:txEffectClrLst/>
  </dgm:styleLbl>
  <dgm:styleLbl name="bgAccFollowNode1">
    <dgm:fillClrLst meth="repeat">
      <a:schemeClr val="accent2">
        <a:alpha val="90000"/>
        <a:tint val="40000"/>
      </a:schemeClr>
    </dgm:fillClrLst>
    <dgm:linClrLst meth="repeat">
      <a:schemeClr val="accent2">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accent2"/>
    </dgm:linClrLst>
    <dgm:effectClrLst/>
    <dgm:txLinClrLst/>
    <dgm:txFillClrLst meth="repeat">
      <a:schemeClr val="dk1"/>
    </dgm:txFillClrLst>
    <dgm:txEffectClrLst/>
  </dgm:styleLbl>
  <dgm:styleLbl name="dkBgShp">
    <dgm:fillClrLst meth="repeat">
      <a:schemeClr val="accent2">
        <a:shade val="80000"/>
      </a:schemeClr>
    </dgm:fillClrLst>
    <dgm:linClrLst meth="repeat">
      <a:schemeClr val="accent2"/>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8B64069C-4B5A-4A9A-BB74-11ED13385C59}" type="doc">
      <dgm:prSet loTypeId="urn:microsoft.com/office/officeart/2005/8/layout/hProcess4" loCatId="process" qsTypeId="urn:microsoft.com/office/officeart/2005/8/quickstyle/simple2" qsCatId="simple" csTypeId="urn:microsoft.com/office/officeart/2005/8/colors/accent2_2" csCatId="accent2" phldr="1"/>
      <dgm:spPr/>
      <dgm:t>
        <a:bodyPr/>
        <a:lstStyle/>
        <a:p>
          <a:endParaRPr lang="en-US"/>
        </a:p>
      </dgm:t>
    </dgm:pt>
    <dgm:pt modelId="{B4ABC1F3-DD0C-4840-BE6D-E94F3C86E153}">
      <dgm:prSet/>
      <dgm:spPr/>
      <dgm:t>
        <a:bodyPr/>
        <a:lstStyle/>
        <a:p>
          <a:r>
            <a:rPr lang="en-US">
              <a:latin typeface="Times New Roman" panose="02020603050405020304" pitchFamily="18" charset="0"/>
              <a:cs typeface="Times New Roman" panose="02020603050405020304" pitchFamily="18" charset="0"/>
            </a:rPr>
            <a:t>Benchmark </a:t>
          </a:r>
          <a:r>
            <a:rPr lang="en-US" dirty="0">
              <a:latin typeface="Times New Roman" panose="02020603050405020304" pitchFamily="18" charset="0"/>
              <a:cs typeface="Times New Roman" panose="02020603050405020304" pitchFamily="18" charset="0"/>
            </a:rPr>
            <a:t>Price</a:t>
          </a:r>
        </a:p>
      </dgm:t>
    </dgm:pt>
    <dgm:pt modelId="{2CEFAF10-F7EA-4EB8-8EB1-674C34386D89}" type="parTrans" cxnId="{8CF2F8E2-4126-4A6D-AA04-3D4CEE6EE097}">
      <dgm:prSet/>
      <dgm:spPr/>
      <dgm:t>
        <a:bodyPr/>
        <a:lstStyle/>
        <a:p>
          <a:endParaRPr lang="en-US"/>
        </a:p>
      </dgm:t>
    </dgm:pt>
    <dgm:pt modelId="{B2630865-87F2-489B-8047-F220DD61016A}" type="sibTrans" cxnId="{8CF2F8E2-4126-4A6D-AA04-3D4CEE6EE097}">
      <dgm:prSet/>
      <dgm:spPr/>
      <dgm:t>
        <a:bodyPr/>
        <a:lstStyle/>
        <a:p>
          <a:endParaRPr lang="en-US"/>
        </a:p>
      </dgm:t>
    </dgm:pt>
    <dgm:pt modelId="{0245B92C-539E-4A11-9D8D-705195FFFBC2}">
      <dgm:prSet/>
      <dgm:spPr/>
      <dgm:t>
        <a:bodyPr/>
        <a:lstStyle/>
        <a:p>
          <a:r>
            <a:rPr lang="en-US" dirty="0">
              <a:latin typeface="Times New Roman" panose="02020603050405020304" pitchFamily="18" charset="0"/>
              <a:cs typeface="Times New Roman" panose="02020603050405020304" pitchFamily="18" charset="0"/>
            </a:rPr>
            <a:t>Reference Price</a:t>
          </a:r>
        </a:p>
      </dgm:t>
    </dgm:pt>
    <dgm:pt modelId="{908D5B23-0261-445F-8102-5AEB1C9583A1}" type="parTrans" cxnId="{EA3083E1-F721-4C70-AB4C-C817DB219944}">
      <dgm:prSet/>
      <dgm:spPr/>
      <dgm:t>
        <a:bodyPr/>
        <a:lstStyle/>
        <a:p>
          <a:endParaRPr lang="en-US"/>
        </a:p>
      </dgm:t>
    </dgm:pt>
    <dgm:pt modelId="{B90CE424-FA9C-4BE9-9AC3-24CB71DFFBC3}" type="sibTrans" cxnId="{EA3083E1-F721-4C70-AB4C-C817DB219944}">
      <dgm:prSet/>
      <dgm:spPr/>
      <dgm:t>
        <a:bodyPr/>
        <a:lstStyle/>
        <a:p>
          <a:endParaRPr lang="en-US"/>
        </a:p>
      </dgm:t>
    </dgm:pt>
    <dgm:pt modelId="{AD317970-CDC8-4F55-A70F-182DCC532818}">
      <dgm:prSet/>
      <dgm:spPr/>
      <dgm:t>
        <a:bodyPr/>
        <a:lstStyle/>
        <a:p>
          <a:r>
            <a:rPr lang="en-US" dirty="0">
              <a:latin typeface="Times New Roman" panose="02020603050405020304" pitchFamily="18" charset="0"/>
              <a:cs typeface="Times New Roman" panose="02020603050405020304" pitchFamily="18" charset="0"/>
            </a:rPr>
            <a:t>Official Exchange Rate</a:t>
          </a:r>
        </a:p>
      </dgm:t>
    </dgm:pt>
    <dgm:pt modelId="{FF16442E-E4EE-43BB-AB14-2B7DB85277EF}" type="parTrans" cxnId="{4CD6291F-25A1-4192-84BB-AC186555429B}">
      <dgm:prSet/>
      <dgm:spPr/>
      <dgm:t>
        <a:bodyPr/>
        <a:lstStyle/>
        <a:p>
          <a:endParaRPr lang="en-US"/>
        </a:p>
      </dgm:t>
    </dgm:pt>
    <dgm:pt modelId="{E6DE486F-828D-45D0-B3AB-C2E53D702700}" type="sibTrans" cxnId="{4CD6291F-25A1-4192-84BB-AC186555429B}">
      <dgm:prSet/>
      <dgm:spPr/>
      <dgm:t>
        <a:bodyPr/>
        <a:lstStyle/>
        <a:p>
          <a:endParaRPr lang="en-US"/>
        </a:p>
      </dgm:t>
    </dgm:pt>
    <dgm:pt modelId="{EBA27591-2CA6-4732-9D21-BECD98B521C5}">
      <dgm:prSet/>
      <dgm:spPr/>
      <dgm:t>
        <a:bodyPr/>
        <a:lstStyle/>
        <a:p>
          <a:r>
            <a:rPr lang="en-US" dirty="0">
              <a:latin typeface="Times New Roman" panose="02020603050405020304" pitchFamily="18" charset="0"/>
              <a:cs typeface="Times New Roman" panose="02020603050405020304" pitchFamily="18" charset="0"/>
            </a:rPr>
            <a:t>Quantity Adjustment</a:t>
          </a:r>
        </a:p>
      </dgm:t>
    </dgm:pt>
    <dgm:pt modelId="{0875C7B4-3B02-41B9-8447-82601A93A28A}" type="parTrans" cxnId="{81F04FD9-613A-4697-93DE-3DFD75A09951}">
      <dgm:prSet/>
      <dgm:spPr/>
      <dgm:t>
        <a:bodyPr/>
        <a:lstStyle/>
        <a:p>
          <a:endParaRPr lang="en-US"/>
        </a:p>
      </dgm:t>
    </dgm:pt>
    <dgm:pt modelId="{3A377165-4F9B-4047-9C9F-3BB4FE37EA7F}" type="sibTrans" cxnId="{81F04FD9-613A-4697-93DE-3DFD75A09951}">
      <dgm:prSet/>
      <dgm:spPr/>
      <dgm:t>
        <a:bodyPr/>
        <a:lstStyle/>
        <a:p>
          <a:endParaRPr lang="en-US"/>
        </a:p>
      </dgm:t>
    </dgm:pt>
    <dgm:pt modelId="{B35B8748-D0FD-4B50-A38D-2C58974B07B2}">
      <dgm:prSet/>
      <dgm:spPr/>
      <dgm:t>
        <a:bodyPr/>
        <a:lstStyle/>
        <a:p>
          <a:r>
            <a:rPr lang="en-US" dirty="0">
              <a:latin typeface="Times New Roman" panose="02020603050405020304" pitchFamily="18" charset="0"/>
              <a:cs typeface="Times New Roman" panose="02020603050405020304" pitchFamily="18" charset="0"/>
            </a:rPr>
            <a:t>Quality Adjustment</a:t>
          </a:r>
        </a:p>
      </dgm:t>
    </dgm:pt>
    <dgm:pt modelId="{3E5E39E2-B4EC-49B8-A92E-6C67A9E7AB46}" type="parTrans" cxnId="{79D9FD54-708B-419C-A7A1-95853288DCE2}">
      <dgm:prSet/>
      <dgm:spPr/>
      <dgm:t>
        <a:bodyPr/>
        <a:lstStyle/>
        <a:p>
          <a:endParaRPr lang="en-US"/>
        </a:p>
      </dgm:t>
    </dgm:pt>
    <dgm:pt modelId="{FBB8E361-62A6-4211-9A69-D9BCFB3BD56B}" type="sibTrans" cxnId="{79D9FD54-708B-419C-A7A1-95853288DCE2}">
      <dgm:prSet/>
      <dgm:spPr/>
      <dgm:t>
        <a:bodyPr/>
        <a:lstStyle/>
        <a:p>
          <a:endParaRPr lang="en-US"/>
        </a:p>
      </dgm:t>
    </dgm:pt>
    <dgm:pt modelId="{2A05D704-84AC-4F0C-96C9-71EC91D540D4}">
      <dgm:prSet/>
      <dgm:spPr/>
      <dgm:t>
        <a:bodyPr/>
        <a:lstStyle/>
        <a:p>
          <a:r>
            <a:rPr lang="en-US" dirty="0">
              <a:latin typeface="Times New Roman" panose="02020603050405020304" pitchFamily="18" charset="0"/>
              <a:cs typeface="Times New Roman" panose="02020603050405020304" pitchFamily="18" charset="0"/>
            </a:rPr>
            <a:t>Reference Price at Point of Competition</a:t>
          </a:r>
        </a:p>
      </dgm:t>
    </dgm:pt>
    <dgm:pt modelId="{D4362923-14FB-403F-AF3E-7B2552970CCA}" type="parTrans" cxnId="{1C8B83C2-2D63-41A9-897E-32D5756D302F}">
      <dgm:prSet/>
      <dgm:spPr/>
      <dgm:t>
        <a:bodyPr/>
        <a:lstStyle/>
        <a:p>
          <a:endParaRPr lang="en-US"/>
        </a:p>
      </dgm:t>
    </dgm:pt>
    <dgm:pt modelId="{9570E151-C975-4D52-ADD8-460933602289}" type="sibTrans" cxnId="{1C8B83C2-2D63-41A9-897E-32D5756D302F}">
      <dgm:prSet/>
      <dgm:spPr/>
      <dgm:t>
        <a:bodyPr/>
        <a:lstStyle/>
        <a:p>
          <a:endParaRPr lang="en-US"/>
        </a:p>
      </dgm:t>
    </dgm:pt>
    <dgm:pt modelId="{AD247E88-9233-45D3-9BAF-C98E058C4D5A}">
      <dgm:prSet/>
      <dgm:spPr/>
      <dgm:t>
        <a:bodyPr/>
        <a:lstStyle/>
        <a:p>
          <a:r>
            <a:rPr lang="en-US" dirty="0">
              <a:latin typeface="Times New Roman" panose="02020603050405020304" pitchFamily="18" charset="0"/>
              <a:cs typeface="Times New Roman" panose="02020603050405020304" pitchFamily="18" charset="0"/>
            </a:rPr>
            <a:t>Quantity Adjustment</a:t>
          </a:r>
        </a:p>
      </dgm:t>
    </dgm:pt>
    <dgm:pt modelId="{7FACD40D-FDDD-4B29-AF3D-49458C2105DA}" type="parTrans" cxnId="{C6AC6272-9B93-4582-87A8-A89ECC3448B1}">
      <dgm:prSet/>
      <dgm:spPr/>
      <dgm:t>
        <a:bodyPr/>
        <a:lstStyle/>
        <a:p>
          <a:endParaRPr lang="en-US"/>
        </a:p>
      </dgm:t>
    </dgm:pt>
    <dgm:pt modelId="{FBA2F636-0FE8-4CA4-9A8E-07E3DE67FDD2}" type="sibTrans" cxnId="{C6AC6272-9B93-4582-87A8-A89ECC3448B1}">
      <dgm:prSet/>
      <dgm:spPr/>
      <dgm:t>
        <a:bodyPr/>
        <a:lstStyle/>
        <a:p>
          <a:endParaRPr lang="en-US"/>
        </a:p>
      </dgm:t>
    </dgm:pt>
    <dgm:pt modelId="{539FDF51-04B2-4B12-AEF0-5141FEEA3820}">
      <dgm:prSet/>
      <dgm:spPr/>
      <dgm:t>
        <a:bodyPr/>
        <a:lstStyle/>
        <a:p>
          <a:r>
            <a:rPr lang="en-US" dirty="0">
              <a:latin typeface="Times New Roman" panose="02020603050405020304" pitchFamily="18" charset="0"/>
              <a:cs typeface="Times New Roman" panose="02020603050405020304" pitchFamily="18" charset="0"/>
            </a:rPr>
            <a:t>Quality Adjustment</a:t>
          </a:r>
        </a:p>
      </dgm:t>
    </dgm:pt>
    <dgm:pt modelId="{27B43DB8-F41A-455D-856D-FB9249F95C03}" type="parTrans" cxnId="{1526B825-7DAB-427E-AEBA-E42F4E5C2D9E}">
      <dgm:prSet/>
      <dgm:spPr/>
      <dgm:t>
        <a:bodyPr/>
        <a:lstStyle/>
        <a:p>
          <a:endParaRPr lang="en-US"/>
        </a:p>
      </dgm:t>
    </dgm:pt>
    <dgm:pt modelId="{A80B1D1C-8A15-49A5-99B3-B5947A76E96F}" type="sibTrans" cxnId="{1526B825-7DAB-427E-AEBA-E42F4E5C2D9E}">
      <dgm:prSet/>
      <dgm:spPr/>
      <dgm:t>
        <a:bodyPr/>
        <a:lstStyle/>
        <a:p>
          <a:endParaRPr lang="en-US"/>
        </a:p>
      </dgm:t>
    </dgm:pt>
    <dgm:pt modelId="{28034907-F0F4-4508-88E3-36189B5D745A}">
      <dgm:prSet/>
      <dgm:spPr/>
      <dgm:t>
        <a:bodyPr/>
        <a:lstStyle/>
        <a:p>
          <a:r>
            <a:rPr lang="en-US" dirty="0">
              <a:latin typeface="Times New Roman" panose="02020603050405020304" pitchFamily="18" charset="0"/>
              <a:cs typeface="Times New Roman" panose="02020603050405020304" pitchFamily="18" charset="0"/>
            </a:rPr>
            <a:t>Processing Margins</a:t>
          </a:r>
        </a:p>
      </dgm:t>
    </dgm:pt>
    <dgm:pt modelId="{7C96E50A-4DD3-4024-944B-785BC3153E6A}" type="parTrans" cxnId="{2919A2F2-DEBF-469E-8895-C54BAE0CCFC8}">
      <dgm:prSet/>
      <dgm:spPr/>
      <dgm:t>
        <a:bodyPr/>
        <a:lstStyle/>
        <a:p>
          <a:endParaRPr lang="en-US"/>
        </a:p>
      </dgm:t>
    </dgm:pt>
    <dgm:pt modelId="{051EFF57-F9F8-45C0-A293-BDDD68C7F527}" type="sibTrans" cxnId="{2919A2F2-DEBF-469E-8895-C54BAE0CCFC8}">
      <dgm:prSet/>
      <dgm:spPr/>
      <dgm:t>
        <a:bodyPr/>
        <a:lstStyle/>
        <a:p>
          <a:endParaRPr lang="en-US"/>
        </a:p>
      </dgm:t>
    </dgm:pt>
    <dgm:pt modelId="{CB252E2A-FEF1-448F-9B96-349E12BAB1F1}">
      <dgm:prSet/>
      <dgm:spPr/>
      <dgm:t>
        <a:bodyPr/>
        <a:lstStyle/>
        <a:p>
          <a:r>
            <a:rPr lang="en-US" dirty="0">
              <a:latin typeface="Times New Roman" panose="02020603050405020304" pitchFamily="18" charset="0"/>
              <a:cs typeface="Times New Roman" panose="02020603050405020304" pitchFamily="18" charset="0"/>
            </a:rPr>
            <a:t>Transportation Margins</a:t>
          </a:r>
        </a:p>
      </dgm:t>
    </dgm:pt>
    <dgm:pt modelId="{D8E31D7E-09A4-498A-8FE2-CC7A65A46148}" type="parTrans" cxnId="{60CC2CFB-00DA-4E00-8DC8-4B8B3AD2D936}">
      <dgm:prSet/>
      <dgm:spPr/>
      <dgm:t>
        <a:bodyPr/>
        <a:lstStyle/>
        <a:p>
          <a:endParaRPr lang="en-US"/>
        </a:p>
      </dgm:t>
    </dgm:pt>
    <dgm:pt modelId="{B6852C79-A09F-450D-9DC8-1872C903555C}" type="sibTrans" cxnId="{60CC2CFB-00DA-4E00-8DC8-4B8B3AD2D936}">
      <dgm:prSet/>
      <dgm:spPr/>
      <dgm:t>
        <a:bodyPr/>
        <a:lstStyle/>
        <a:p>
          <a:endParaRPr lang="en-US"/>
        </a:p>
      </dgm:t>
    </dgm:pt>
    <dgm:pt modelId="{58FB80D3-BC9C-486D-A9E4-0744DB826899}">
      <dgm:prSet/>
      <dgm:spPr/>
      <dgm:t>
        <a:bodyPr/>
        <a:lstStyle/>
        <a:p>
          <a:r>
            <a:rPr lang="en-US" dirty="0">
              <a:latin typeface="Times New Roman" panose="02020603050405020304" pitchFamily="18" charset="0"/>
              <a:cs typeface="Times New Roman" panose="02020603050405020304" pitchFamily="18" charset="0"/>
            </a:rPr>
            <a:t>Other Costs</a:t>
          </a:r>
        </a:p>
      </dgm:t>
    </dgm:pt>
    <dgm:pt modelId="{80312C6A-55B2-4F04-AA70-C1E1E4A95EA7}" type="parTrans" cxnId="{B12ED0F5-9D7A-4F31-904B-B3BDB1AAA0A2}">
      <dgm:prSet/>
      <dgm:spPr/>
      <dgm:t>
        <a:bodyPr/>
        <a:lstStyle/>
        <a:p>
          <a:endParaRPr lang="en-US"/>
        </a:p>
      </dgm:t>
    </dgm:pt>
    <dgm:pt modelId="{9E2CC60D-0925-41E9-BF0A-B52D4E485D67}" type="sibTrans" cxnId="{B12ED0F5-9D7A-4F31-904B-B3BDB1AAA0A2}">
      <dgm:prSet/>
      <dgm:spPr/>
      <dgm:t>
        <a:bodyPr/>
        <a:lstStyle/>
        <a:p>
          <a:endParaRPr lang="en-US"/>
        </a:p>
      </dgm:t>
    </dgm:pt>
    <dgm:pt modelId="{A70FA230-3AAF-4681-9F3F-9397BF812612}">
      <dgm:prSet/>
      <dgm:spPr/>
      <dgm:t>
        <a:bodyPr/>
        <a:lstStyle/>
        <a:p>
          <a:r>
            <a:rPr lang="en-US" dirty="0">
              <a:latin typeface="Times New Roman" panose="02020603050405020304" pitchFamily="18" charset="0"/>
              <a:cs typeface="Times New Roman" panose="02020603050405020304" pitchFamily="18" charset="0"/>
            </a:rPr>
            <a:t>Processing Margins</a:t>
          </a:r>
        </a:p>
      </dgm:t>
    </dgm:pt>
    <dgm:pt modelId="{D8A8A868-D3A2-4FA9-B396-63073B78E937}" type="parTrans" cxnId="{C4CA8E65-8D03-4B5B-A4D9-2D41D11B194A}">
      <dgm:prSet/>
      <dgm:spPr/>
      <dgm:t>
        <a:bodyPr/>
        <a:lstStyle/>
        <a:p>
          <a:endParaRPr lang="en-US"/>
        </a:p>
      </dgm:t>
    </dgm:pt>
    <dgm:pt modelId="{95437946-710B-41A6-AA2F-506F61DFABAC}" type="sibTrans" cxnId="{C4CA8E65-8D03-4B5B-A4D9-2D41D11B194A}">
      <dgm:prSet/>
      <dgm:spPr/>
      <dgm:t>
        <a:bodyPr/>
        <a:lstStyle/>
        <a:p>
          <a:endParaRPr lang="en-US"/>
        </a:p>
      </dgm:t>
    </dgm:pt>
    <dgm:pt modelId="{27F081D1-C251-4A70-A700-5FDD48C52D10}">
      <dgm:prSet/>
      <dgm:spPr/>
      <dgm:t>
        <a:bodyPr/>
        <a:lstStyle/>
        <a:p>
          <a:r>
            <a:rPr lang="en-US" dirty="0">
              <a:latin typeface="Times New Roman" panose="02020603050405020304" pitchFamily="18" charset="0"/>
              <a:cs typeface="Times New Roman" panose="02020603050405020304" pitchFamily="18" charset="0"/>
            </a:rPr>
            <a:t>Transportation Margins</a:t>
          </a:r>
        </a:p>
      </dgm:t>
    </dgm:pt>
    <dgm:pt modelId="{DD75B1D5-3E36-4B4D-9C59-1CF89427438B}" type="parTrans" cxnId="{3ED7935D-8F8F-4D35-A9A6-9D4F67901E11}">
      <dgm:prSet/>
      <dgm:spPr/>
      <dgm:t>
        <a:bodyPr/>
        <a:lstStyle/>
        <a:p>
          <a:endParaRPr lang="en-US"/>
        </a:p>
      </dgm:t>
    </dgm:pt>
    <dgm:pt modelId="{A6AB80F0-457D-4814-8B5B-BD71B4D9F07C}" type="sibTrans" cxnId="{3ED7935D-8F8F-4D35-A9A6-9D4F67901E11}">
      <dgm:prSet/>
      <dgm:spPr/>
      <dgm:t>
        <a:bodyPr/>
        <a:lstStyle/>
        <a:p>
          <a:endParaRPr lang="en-US"/>
        </a:p>
      </dgm:t>
    </dgm:pt>
    <dgm:pt modelId="{4EE6790F-AFDD-4E49-8639-9145404544C6}">
      <dgm:prSet/>
      <dgm:spPr/>
      <dgm:t>
        <a:bodyPr/>
        <a:lstStyle/>
        <a:p>
          <a:r>
            <a:rPr lang="en-US" dirty="0">
              <a:latin typeface="Times New Roman" panose="02020603050405020304" pitchFamily="18" charset="0"/>
              <a:cs typeface="Times New Roman" panose="02020603050405020304" pitchFamily="18" charset="0"/>
            </a:rPr>
            <a:t>Other Costs</a:t>
          </a:r>
        </a:p>
      </dgm:t>
    </dgm:pt>
    <dgm:pt modelId="{915AEBCE-A39E-45C4-A009-1511FD0DD122}" type="parTrans" cxnId="{5A272038-167E-4AEB-9FD1-6720B341E9A2}">
      <dgm:prSet/>
      <dgm:spPr/>
      <dgm:t>
        <a:bodyPr/>
        <a:lstStyle/>
        <a:p>
          <a:endParaRPr lang="en-US"/>
        </a:p>
      </dgm:t>
    </dgm:pt>
    <dgm:pt modelId="{D0A4C849-793C-448A-BD54-FD25BD8F58B2}" type="sibTrans" cxnId="{5A272038-167E-4AEB-9FD1-6720B341E9A2}">
      <dgm:prSet/>
      <dgm:spPr/>
      <dgm:t>
        <a:bodyPr/>
        <a:lstStyle/>
        <a:p>
          <a:endParaRPr lang="en-US"/>
        </a:p>
      </dgm:t>
    </dgm:pt>
    <dgm:pt modelId="{45D2F980-CE00-489F-B567-E63BFFEBC702}">
      <dgm:prSet/>
      <dgm:spPr/>
      <dgm:t>
        <a:bodyPr/>
        <a:lstStyle/>
        <a:p>
          <a:r>
            <a:rPr lang="en-US" dirty="0">
              <a:latin typeface="Times New Roman" panose="02020603050405020304" pitchFamily="18" charset="0"/>
              <a:cs typeface="Times New Roman" panose="02020603050405020304" pitchFamily="18" charset="0"/>
            </a:rPr>
            <a:t>Quantity Adjustment</a:t>
          </a:r>
        </a:p>
      </dgm:t>
    </dgm:pt>
    <dgm:pt modelId="{A972586C-45E9-41FB-BDB7-FE321FAD3B1B}" type="parTrans" cxnId="{35E1987C-786A-40D7-9D49-18A4A13029A5}">
      <dgm:prSet/>
      <dgm:spPr/>
      <dgm:t>
        <a:bodyPr/>
        <a:lstStyle/>
        <a:p>
          <a:endParaRPr lang="en-US"/>
        </a:p>
      </dgm:t>
    </dgm:pt>
    <dgm:pt modelId="{2E6800A1-2C5C-4BE0-BE04-E4EE23049842}" type="sibTrans" cxnId="{35E1987C-786A-40D7-9D49-18A4A13029A5}">
      <dgm:prSet/>
      <dgm:spPr/>
      <dgm:t>
        <a:bodyPr/>
        <a:lstStyle/>
        <a:p>
          <a:endParaRPr lang="en-US"/>
        </a:p>
      </dgm:t>
    </dgm:pt>
    <dgm:pt modelId="{18F21B7C-96FB-4DAA-A476-1FD8ACE52DA5}">
      <dgm:prSet/>
      <dgm:spPr/>
      <dgm:t>
        <a:bodyPr/>
        <a:lstStyle/>
        <a:p>
          <a:r>
            <a:rPr lang="en-US" dirty="0">
              <a:latin typeface="Times New Roman" panose="02020603050405020304" pitchFamily="18" charset="0"/>
              <a:cs typeface="Times New Roman" panose="02020603050405020304" pitchFamily="18" charset="0"/>
            </a:rPr>
            <a:t>Quality Adjustment</a:t>
          </a:r>
        </a:p>
      </dgm:t>
    </dgm:pt>
    <dgm:pt modelId="{AD80DC36-B14C-4042-86F2-CA462AF9D86E}" type="parTrans" cxnId="{D257FB63-6697-404D-93B6-CCB7D760694C}">
      <dgm:prSet/>
      <dgm:spPr/>
      <dgm:t>
        <a:bodyPr/>
        <a:lstStyle/>
        <a:p>
          <a:endParaRPr lang="en-US"/>
        </a:p>
      </dgm:t>
    </dgm:pt>
    <dgm:pt modelId="{07180DB3-1F30-49B0-AB01-B96BBAB77509}" type="sibTrans" cxnId="{D257FB63-6697-404D-93B6-CCB7D760694C}">
      <dgm:prSet/>
      <dgm:spPr/>
      <dgm:t>
        <a:bodyPr/>
        <a:lstStyle/>
        <a:p>
          <a:endParaRPr lang="en-US"/>
        </a:p>
      </dgm:t>
    </dgm:pt>
    <dgm:pt modelId="{BB9C7C9D-B90D-4927-A564-857C9B8A64A6}">
      <dgm:prSet/>
      <dgm:spPr/>
      <dgm:t>
        <a:bodyPr/>
        <a:lstStyle/>
        <a:p>
          <a:r>
            <a:rPr lang="en-US" dirty="0">
              <a:latin typeface="Times New Roman" panose="02020603050405020304" pitchFamily="18" charset="0"/>
              <a:cs typeface="Times New Roman" panose="02020603050405020304" pitchFamily="18" charset="0"/>
            </a:rPr>
            <a:t>Reference Price at </a:t>
          </a:r>
          <a:r>
            <a:rPr lang="en-US" dirty="0" err="1">
              <a:latin typeface="Times New Roman" panose="02020603050405020304" pitchFamily="18" charset="0"/>
              <a:cs typeface="Times New Roman" panose="02020603050405020304" pitchFamily="18" charset="0"/>
            </a:rPr>
            <a:t>Farmgate</a:t>
          </a:r>
          <a:endParaRPr lang="en-US" dirty="0">
            <a:latin typeface="Times New Roman" panose="02020603050405020304" pitchFamily="18" charset="0"/>
            <a:cs typeface="Times New Roman" panose="02020603050405020304" pitchFamily="18" charset="0"/>
          </a:endParaRPr>
        </a:p>
      </dgm:t>
    </dgm:pt>
    <dgm:pt modelId="{95693986-55DA-4551-BE7B-873600571BE5}" type="parTrans" cxnId="{A2D0FC61-8E59-43E9-825F-6FE64AB8AA23}">
      <dgm:prSet/>
      <dgm:spPr/>
      <dgm:t>
        <a:bodyPr/>
        <a:lstStyle/>
        <a:p>
          <a:endParaRPr lang="en-US"/>
        </a:p>
      </dgm:t>
    </dgm:pt>
    <dgm:pt modelId="{DF2FFB91-17EC-419B-A180-9B9F3783CEC2}" type="sibTrans" cxnId="{A2D0FC61-8E59-43E9-825F-6FE64AB8AA23}">
      <dgm:prSet/>
      <dgm:spPr/>
      <dgm:t>
        <a:bodyPr/>
        <a:lstStyle/>
        <a:p>
          <a:endParaRPr lang="en-US"/>
        </a:p>
      </dgm:t>
    </dgm:pt>
    <dgm:pt modelId="{EA04E824-CE3B-4FF4-8DAC-E3D71B92B35B}" type="pres">
      <dgm:prSet presAssocID="{8B64069C-4B5A-4A9A-BB74-11ED13385C59}" presName="Name0" presStyleCnt="0">
        <dgm:presLayoutVars>
          <dgm:dir/>
          <dgm:animLvl val="lvl"/>
          <dgm:resizeHandles val="exact"/>
        </dgm:presLayoutVars>
      </dgm:prSet>
      <dgm:spPr/>
    </dgm:pt>
    <dgm:pt modelId="{B59E8EE2-3BC0-463E-A7EB-BF842496E195}" type="pres">
      <dgm:prSet presAssocID="{8B64069C-4B5A-4A9A-BB74-11ED13385C59}" presName="tSp" presStyleCnt="0"/>
      <dgm:spPr/>
    </dgm:pt>
    <dgm:pt modelId="{51D54CBC-D151-490E-9376-1C09F65411EB}" type="pres">
      <dgm:prSet presAssocID="{8B64069C-4B5A-4A9A-BB74-11ED13385C59}" presName="bSp" presStyleCnt="0"/>
      <dgm:spPr/>
    </dgm:pt>
    <dgm:pt modelId="{C4B908AE-470C-4427-9C1A-702836310265}" type="pres">
      <dgm:prSet presAssocID="{8B64069C-4B5A-4A9A-BB74-11ED13385C59}" presName="process" presStyleCnt="0"/>
      <dgm:spPr/>
    </dgm:pt>
    <dgm:pt modelId="{C747EDC3-ADE9-43D1-83B1-C88D8490A483}" type="pres">
      <dgm:prSet presAssocID="{B4ABC1F3-DD0C-4840-BE6D-E94F3C86E153}" presName="composite1" presStyleCnt="0"/>
      <dgm:spPr/>
    </dgm:pt>
    <dgm:pt modelId="{59AE4320-9F67-42B2-A106-BB73C3B356C0}" type="pres">
      <dgm:prSet presAssocID="{B4ABC1F3-DD0C-4840-BE6D-E94F3C86E153}" presName="dummyNode1" presStyleLbl="node1" presStyleIdx="0" presStyleCnt="4"/>
      <dgm:spPr/>
    </dgm:pt>
    <dgm:pt modelId="{BB70996A-DD95-4A0C-A85D-53339F9BFA00}" type="pres">
      <dgm:prSet presAssocID="{B4ABC1F3-DD0C-4840-BE6D-E94F3C86E153}" presName="childNode1" presStyleLbl="bgAcc1" presStyleIdx="0" presStyleCnt="4" custFlipVert="1" custScaleX="4714" custScaleY="2281" custLinFactNeighborX="26954" custLinFactNeighborY="54627">
        <dgm:presLayoutVars>
          <dgm:bulletEnabled val="1"/>
        </dgm:presLayoutVars>
      </dgm:prSet>
      <dgm:spPr/>
    </dgm:pt>
    <dgm:pt modelId="{388541D7-EA89-480C-88AB-ADCACAD13156}" type="pres">
      <dgm:prSet presAssocID="{B4ABC1F3-DD0C-4840-BE6D-E94F3C86E153}" presName="childNode1tx" presStyleLbl="bgAcc1" presStyleIdx="0" presStyleCnt="4">
        <dgm:presLayoutVars>
          <dgm:bulletEnabled val="1"/>
        </dgm:presLayoutVars>
      </dgm:prSet>
      <dgm:spPr/>
    </dgm:pt>
    <dgm:pt modelId="{E3C88576-F31A-46F4-924B-F846D51BB491}" type="pres">
      <dgm:prSet presAssocID="{B4ABC1F3-DD0C-4840-BE6D-E94F3C86E153}" presName="parentNode1" presStyleLbl="node1" presStyleIdx="0" presStyleCnt="4" custLinFactNeighborX="-25135">
        <dgm:presLayoutVars>
          <dgm:chMax val="1"/>
          <dgm:bulletEnabled val="1"/>
        </dgm:presLayoutVars>
      </dgm:prSet>
      <dgm:spPr/>
    </dgm:pt>
    <dgm:pt modelId="{71FC4146-5B04-4189-A828-AFBA23CC22B0}" type="pres">
      <dgm:prSet presAssocID="{B4ABC1F3-DD0C-4840-BE6D-E94F3C86E153}" presName="connSite1" presStyleCnt="0"/>
      <dgm:spPr/>
    </dgm:pt>
    <dgm:pt modelId="{4D3044D3-0173-4BEC-A24A-A139009DF82E}" type="pres">
      <dgm:prSet presAssocID="{B2630865-87F2-489B-8047-F220DD61016A}" presName="Name9" presStyleLbl="sibTrans2D1" presStyleIdx="0" presStyleCnt="3"/>
      <dgm:spPr/>
    </dgm:pt>
    <dgm:pt modelId="{DD0CF9E4-679C-47EB-8A9E-009A4AB7733A}" type="pres">
      <dgm:prSet presAssocID="{0245B92C-539E-4A11-9D8D-705195FFFBC2}" presName="composite2" presStyleCnt="0"/>
      <dgm:spPr/>
    </dgm:pt>
    <dgm:pt modelId="{F633BD27-2CD8-4B3B-A07B-1FE35996E2E8}" type="pres">
      <dgm:prSet presAssocID="{0245B92C-539E-4A11-9D8D-705195FFFBC2}" presName="dummyNode2" presStyleLbl="node1" presStyleIdx="0" presStyleCnt="4"/>
      <dgm:spPr/>
    </dgm:pt>
    <dgm:pt modelId="{766D598B-451E-4E9B-BB14-FDF3558A3DC4}" type="pres">
      <dgm:prSet presAssocID="{0245B92C-539E-4A11-9D8D-705195FFFBC2}" presName="childNode2" presStyleLbl="bgAcc1" presStyleIdx="1" presStyleCnt="4" custLinFactNeighborX="-22342">
        <dgm:presLayoutVars>
          <dgm:bulletEnabled val="1"/>
        </dgm:presLayoutVars>
      </dgm:prSet>
      <dgm:spPr/>
    </dgm:pt>
    <dgm:pt modelId="{E8D54A5F-20A1-4F5C-BFA0-40BE17BF1BE6}" type="pres">
      <dgm:prSet presAssocID="{0245B92C-539E-4A11-9D8D-705195FFFBC2}" presName="childNode2tx" presStyleLbl="bgAcc1" presStyleIdx="1" presStyleCnt="4">
        <dgm:presLayoutVars>
          <dgm:bulletEnabled val="1"/>
        </dgm:presLayoutVars>
      </dgm:prSet>
      <dgm:spPr/>
    </dgm:pt>
    <dgm:pt modelId="{CCB8110E-DE4A-48B4-9E05-322574BAE99B}" type="pres">
      <dgm:prSet presAssocID="{0245B92C-539E-4A11-9D8D-705195FFFBC2}" presName="parentNode2" presStyleLbl="node1" presStyleIdx="1" presStyleCnt="4" custLinFactNeighborX="-25135">
        <dgm:presLayoutVars>
          <dgm:chMax val="0"/>
          <dgm:bulletEnabled val="1"/>
        </dgm:presLayoutVars>
      </dgm:prSet>
      <dgm:spPr/>
    </dgm:pt>
    <dgm:pt modelId="{B69D0FF2-5B02-41D0-A899-918D860E6AD4}" type="pres">
      <dgm:prSet presAssocID="{0245B92C-539E-4A11-9D8D-705195FFFBC2}" presName="connSite2" presStyleCnt="0"/>
      <dgm:spPr/>
    </dgm:pt>
    <dgm:pt modelId="{55ACFC82-5524-49E2-8F7F-E08E3F26DFC6}" type="pres">
      <dgm:prSet presAssocID="{B90CE424-FA9C-4BE9-9AC3-24CB71DFFBC3}" presName="Name18" presStyleLbl="sibTrans2D1" presStyleIdx="1" presStyleCnt="3"/>
      <dgm:spPr/>
    </dgm:pt>
    <dgm:pt modelId="{C61E0CDC-151C-4446-A1E5-1681B93DDB29}" type="pres">
      <dgm:prSet presAssocID="{2A05D704-84AC-4F0C-96C9-71EC91D540D4}" presName="composite1" presStyleCnt="0"/>
      <dgm:spPr/>
    </dgm:pt>
    <dgm:pt modelId="{2AC8EEB9-739D-4BCC-8F40-01EB7DFC1C3F}" type="pres">
      <dgm:prSet presAssocID="{2A05D704-84AC-4F0C-96C9-71EC91D540D4}" presName="dummyNode1" presStyleLbl="node1" presStyleIdx="1" presStyleCnt="4"/>
      <dgm:spPr/>
    </dgm:pt>
    <dgm:pt modelId="{951E10BF-458B-49AC-8C5B-70754B154197}" type="pres">
      <dgm:prSet presAssocID="{2A05D704-84AC-4F0C-96C9-71EC91D540D4}" presName="childNode1" presStyleLbl="bgAcc1" presStyleIdx="2" presStyleCnt="4" custLinFactNeighborX="-22342">
        <dgm:presLayoutVars>
          <dgm:bulletEnabled val="1"/>
        </dgm:presLayoutVars>
      </dgm:prSet>
      <dgm:spPr/>
    </dgm:pt>
    <dgm:pt modelId="{AA35620B-806D-4B42-9B15-F2B3F3AE9950}" type="pres">
      <dgm:prSet presAssocID="{2A05D704-84AC-4F0C-96C9-71EC91D540D4}" presName="childNode1tx" presStyleLbl="bgAcc1" presStyleIdx="2" presStyleCnt="4">
        <dgm:presLayoutVars>
          <dgm:bulletEnabled val="1"/>
        </dgm:presLayoutVars>
      </dgm:prSet>
      <dgm:spPr/>
    </dgm:pt>
    <dgm:pt modelId="{F620E50F-847A-4B77-B983-44CA7B0C6814}" type="pres">
      <dgm:prSet presAssocID="{2A05D704-84AC-4F0C-96C9-71EC91D540D4}" presName="parentNode1" presStyleLbl="node1" presStyleIdx="2" presStyleCnt="4" custLinFactNeighborX="-25135">
        <dgm:presLayoutVars>
          <dgm:chMax val="1"/>
          <dgm:bulletEnabled val="1"/>
        </dgm:presLayoutVars>
      </dgm:prSet>
      <dgm:spPr/>
    </dgm:pt>
    <dgm:pt modelId="{F97AB1C6-A7C5-473A-8C52-8C2075898A1B}" type="pres">
      <dgm:prSet presAssocID="{2A05D704-84AC-4F0C-96C9-71EC91D540D4}" presName="connSite1" presStyleCnt="0"/>
      <dgm:spPr/>
    </dgm:pt>
    <dgm:pt modelId="{DC5CE88C-3413-44F9-99A6-007851173B09}" type="pres">
      <dgm:prSet presAssocID="{9570E151-C975-4D52-ADD8-460933602289}" presName="Name9" presStyleLbl="sibTrans2D1" presStyleIdx="2" presStyleCnt="3"/>
      <dgm:spPr/>
    </dgm:pt>
    <dgm:pt modelId="{3D07D987-EB05-4B46-8909-96648EDFACFF}" type="pres">
      <dgm:prSet presAssocID="{BB9C7C9D-B90D-4927-A564-857C9B8A64A6}" presName="composite2" presStyleCnt="0"/>
      <dgm:spPr/>
    </dgm:pt>
    <dgm:pt modelId="{97F5D44D-694F-43C1-B167-CBE64776020C}" type="pres">
      <dgm:prSet presAssocID="{BB9C7C9D-B90D-4927-A564-857C9B8A64A6}" presName="dummyNode2" presStyleLbl="node1" presStyleIdx="2" presStyleCnt="4"/>
      <dgm:spPr/>
    </dgm:pt>
    <dgm:pt modelId="{486590C0-1BC0-4BCA-9963-9216B1596900}" type="pres">
      <dgm:prSet presAssocID="{BB9C7C9D-B90D-4927-A564-857C9B8A64A6}" presName="childNode2" presStyleLbl="bgAcc1" presStyleIdx="3" presStyleCnt="4">
        <dgm:presLayoutVars>
          <dgm:bulletEnabled val="1"/>
        </dgm:presLayoutVars>
      </dgm:prSet>
      <dgm:spPr/>
    </dgm:pt>
    <dgm:pt modelId="{5723517B-0713-4F79-9834-5F9A99752A28}" type="pres">
      <dgm:prSet presAssocID="{BB9C7C9D-B90D-4927-A564-857C9B8A64A6}" presName="childNode2tx" presStyleLbl="bgAcc1" presStyleIdx="3" presStyleCnt="4">
        <dgm:presLayoutVars>
          <dgm:bulletEnabled val="1"/>
        </dgm:presLayoutVars>
      </dgm:prSet>
      <dgm:spPr/>
    </dgm:pt>
    <dgm:pt modelId="{2340D7FF-11D3-42BE-BCC5-7E8BB0EFDA90}" type="pres">
      <dgm:prSet presAssocID="{BB9C7C9D-B90D-4927-A564-857C9B8A64A6}" presName="parentNode2" presStyleLbl="node1" presStyleIdx="3" presStyleCnt="4">
        <dgm:presLayoutVars>
          <dgm:chMax val="0"/>
          <dgm:bulletEnabled val="1"/>
        </dgm:presLayoutVars>
      </dgm:prSet>
      <dgm:spPr/>
    </dgm:pt>
    <dgm:pt modelId="{08566102-EFEE-4E64-9F4F-7566E04682CD}" type="pres">
      <dgm:prSet presAssocID="{BB9C7C9D-B90D-4927-A564-857C9B8A64A6}" presName="connSite2" presStyleCnt="0"/>
      <dgm:spPr/>
    </dgm:pt>
  </dgm:ptLst>
  <dgm:cxnLst>
    <dgm:cxn modelId="{C5325604-36C3-4CF3-BC4E-7761FCA3CFF3}" type="presOf" srcId="{0245B92C-539E-4A11-9D8D-705195FFFBC2}" destId="{CCB8110E-DE4A-48B4-9E05-322574BAE99B}" srcOrd="0" destOrd="0" presId="urn:microsoft.com/office/officeart/2005/8/layout/hProcess4"/>
    <dgm:cxn modelId="{E6716608-DB60-4622-BE06-48C8DF34C71E}" type="presOf" srcId="{28034907-F0F4-4508-88E3-36189B5D745A}" destId="{951E10BF-458B-49AC-8C5B-70754B154197}" srcOrd="0" destOrd="2" presId="urn:microsoft.com/office/officeart/2005/8/layout/hProcess4"/>
    <dgm:cxn modelId="{1C44431A-6CCB-4ACC-BD6D-5B45E58DFB58}" type="presOf" srcId="{4EE6790F-AFDD-4E49-8639-9145404544C6}" destId="{5723517B-0713-4F79-9834-5F9A99752A28}" srcOrd="1" destOrd="2" presId="urn:microsoft.com/office/officeart/2005/8/layout/hProcess4"/>
    <dgm:cxn modelId="{9C112B1D-AF44-442F-AA28-BAACFBFB26F2}" type="presOf" srcId="{27F081D1-C251-4A70-A700-5FDD48C52D10}" destId="{5723517B-0713-4F79-9834-5F9A99752A28}" srcOrd="1" destOrd="1" presId="urn:microsoft.com/office/officeart/2005/8/layout/hProcess4"/>
    <dgm:cxn modelId="{4CD6291F-25A1-4192-84BB-AC186555429B}" srcId="{0245B92C-539E-4A11-9D8D-705195FFFBC2}" destId="{AD317970-CDC8-4F55-A70F-182DCC532818}" srcOrd="0" destOrd="0" parTransId="{FF16442E-E4EE-43BB-AB14-2B7DB85277EF}" sibTransId="{E6DE486F-828D-45D0-B3AB-C2E53D702700}"/>
    <dgm:cxn modelId="{15FDA124-149D-4143-AD74-D4B73B5354B3}" type="presOf" srcId="{AD317970-CDC8-4F55-A70F-182DCC532818}" destId="{E8D54A5F-20A1-4F5C-BFA0-40BE17BF1BE6}" srcOrd="1" destOrd="0" presId="urn:microsoft.com/office/officeart/2005/8/layout/hProcess4"/>
    <dgm:cxn modelId="{1526B825-7DAB-427E-AEBA-E42F4E5C2D9E}" srcId="{2A05D704-84AC-4F0C-96C9-71EC91D540D4}" destId="{539FDF51-04B2-4B12-AEF0-5141FEEA3820}" srcOrd="1" destOrd="0" parTransId="{27B43DB8-F41A-455D-856D-FB9249F95C03}" sibTransId="{A80B1D1C-8A15-49A5-99B3-B5947A76E96F}"/>
    <dgm:cxn modelId="{7420E42F-5551-49E5-B1CC-37259ADB6687}" type="presOf" srcId="{CB252E2A-FEF1-448F-9B96-349E12BAB1F1}" destId="{AA35620B-806D-4B42-9B15-F2B3F3AE9950}" srcOrd="1" destOrd="3" presId="urn:microsoft.com/office/officeart/2005/8/layout/hProcess4"/>
    <dgm:cxn modelId="{7B0B8E37-94CD-48DF-967A-B4D2654CB9BA}" type="presOf" srcId="{18F21B7C-96FB-4DAA-A476-1FD8ACE52DA5}" destId="{486590C0-1BC0-4BCA-9963-9216B1596900}" srcOrd="0" destOrd="4" presId="urn:microsoft.com/office/officeart/2005/8/layout/hProcess4"/>
    <dgm:cxn modelId="{5A272038-167E-4AEB-9FD1-6720B341E9A2}" srcId="{BB9C7C9D-B90D-4927-A564-857C9B8A64A6}" destId="{4EE6790F-AFDD-4E49-8639-9145404544C6}" srcOrd="2" destOrd="0" parTransId="{915AEBCE-A39E-45C4-A009-1511FD0DD122}" sibTransId="{D0A4C849-793C-448A-BD54-FD25BD8F58B2}"/>
    <dgm:cxn modelId="{8809CF3A-5D20-4C80-BF61-A2DA100D475C}" type="presOf" srcId="{539FDF51-04B2-4B12-AEF0-5141FEEA3820}" destId="{AA35620B-806D-4B42-9B15-F2B3F3AE9950}" srcOrd="1" destOrd="1" presId="urn:microsoft.com/office/officeart/2005/8/layout/hProcess4"/>
    <dgm:cxn modelId="{936AD13A-B13D-4F54-A31B-6FE4325ABCF4}" type="presOf" srcId="{B35B8748-D0FD-4B50-A38D-2C58974B07B2}" destId="{766D598B-451E-4E9B-BB14-FDF3558A3DC4}" srcOrd="0" destOrd="2" presId="urn:microsoft.com/office/officeart/2005/8/layout/hProcess4"/>
    <dgm:cxn modelId="{3ED7935D-8F8F-4D35-A9A6-9D4F67901E11}" srcId="{BB9C7C9D-B90D-4927-A564-857C9B8A64A6}" destId="{27F081D1-C251-4A70-A700-5FDD48C52D10}" srcOrd="1" destOrd="0" parTransId="{DD75B1D5-3E36-4B4D-9C59-1CF89427438B}" sibTransId="{A6AB80F0-457D-4814-8B5B-BD71B4D9F07C}"/>
    <dgm:cxn modelId="{A2D0FC61-8E59-43E9-825F-6FE64AB8AA23}" srcId="{8B64069C-4B5A-4A9A-BB74-11ED13385C59}" destId="{BB9C7C9D-B90D-4927-A564-857C9B8A64A6}" srcOrd="3" destOrd="0" parTransId="{95693986-55DA-4551-BE7B-873600571BE5}" sibTransId="{DF2FFB91-17EC-419B-A180-9B9F3783CEC2}"/>
    <dgm:cxn modelId="{D257FB63-6697-404D-93B6-CCB7D760694C}" srcId="{BB9C7C9D-B90D-4927-A564-857C9B8A64A6}" destId="{18F21B7C-96FB-4DAA-A476-1FD8ACE52DA5}" srcOrd="4" destOrd="0" parTransId="{AD80DC36-B14C-4042-86F2-CA462AF9D86E}" sibTransId="{07180DB3-1F30-49B0-AB01-B96BBAB77509}"/>
    <dgm:cxn modelId="{984FEE64-ED68-4F21-8C71-64F04BD1CBEA}" type="presOf" srcId="{A70FA230-3AAF-4681-9F3F-9397BF812612}" destId="{5723517B-0713-4F79-9834-5F9A99752A28}" srcOrd="1" destOrd="0" presId="urn:microsoft.com/office/officeart/2005/8/layout/hProcess4"/>
    <dgm:cxn modelId="{C4CA8E65-8D03-4B5B-A4D9-2D41D11B194A}" srcId="{BB9C7C9D-B90D-4927-A564-857C9B8A64A6}" destId="{A70FA230-3AAF-4681-9F3F-9397BF812612}" srcOrd="0" destOrd="0" parTransId="{D8A8A868-D3A2-4FA9-B396-63073B78E937}" sibTransId="{95437946-710B-41A6-AA2F-506F61DFABAC}"/>
    <dgm:cxn modelId="{F70DC466-A148-4E05-8D7A-BA6E17646376}" type="presOf" srcId="{A70FA230-3AAF-4681-9F3F-9397BF812612}" destId="{486590C0-1BC0-4BCA-9963-9216B1596900}" srcOrd="0" destOrd="0" presId="urn:microsoft.com/office/officeart/2005/8/layout/hProcess4"/>
    <dgm:cxn modelId="{88C2A848-98FB-48C9-9702-C1F95FB541F2}" type="presOf" srcId="{B35B8748-D0FD-4B50-A38D-2C58974B07B2}" destId="{E8D54A5F-20A1-4F5C-BFA0-40BE17BF1BE6}" srcOrd="1" destOrd="2" presId="urn:microsoft.com/office/officeart/2005/8/layout/hProcess4"/>
    <dgm:cxn modelId="{DAFE7E69-2A4E-452A-97E7-74C9CD9C8236}" type="presOf" srcId="{45D2F980-CE00-489F-B567-E63BFFEBC702}" destId="{486590C0-1BC0-4BCA-9963-9216B1596900}" srcOrd="0" destOrd="3" presId="urn:microsoft.com/office/officeart/2005/8/layout/hProcess4"/>
    <dgm:cxn modelId="{E723744E-B904-44DA-AFA7-4A8AC05D0C85}" type="presOf" srcId="{18F21B7C-96FB-4DAA-A476-1FD8ACE52DA5}" destId="{5723517B-0713-4F79-9834-5F9A99752A28}" srcOrd="1" destOrd="4" presId="urn:microsoft.com/office/officeart/2005/8/layout/hProcess4"/>
    <dgm:cxn modelId="{2C804570-CFE5-41CB-B39F-9A3DF4E6A9AA}" type="presOf" srcId="{9570E151-C975-4D52-ADD8-460933602289}" destId="{DC5CE88C-3413-44F9-99A6-007851173B09}" srcOrd="0" destOrd="0" presId="urn:microsoft.com/office/officeart/2005/8/layout/hProcess4"/>
    <dgm:cxn modelId="{C6AC6272-9B93-4582-87A8-A89ECC3448B1}" srcId="{2A05D704-84AC-4F0C-96C9-71EC91D540D4}" destId="{AD247E88-9233-45D3-9BAF-C98E058C4D5A}" srcOrd="0" destOrd="0" parTransId="{7FACD40D-FDDD-4B29-AF3D-49458C2105DA}" sibTransId="{FBA2F636-0FE8-4CA4-9A8E-07E3DE67FDD2}"/>
    <dgm:cxn modelId="{F7070074-00D8-4148-A27D-2108FA53343B}" type="presOf" srcId="{AD247E88-9233-45D3-9BAF-C98E058C4D5A}" destId="{AA35620B-806D-4B42-9B15-F2B3F3AE9950}" srcOrd="1" destOrd="0" presId="urn:microsoft.com/office/officeart/2005/8/layout/hProcess4"/>
    <dgm:cxn modelId="{79D9FD54-708B-419C-A7A1-95853288DCE2}" srcId="{0245B92C-539E-4A11-9D8D-705195FFFBC2}" destId="{B35B8748-D0FD-4B50-A38D-2C58974B07B2}" srcOrd="2" destOrd="0" parTransId="{3E5E39E2-B4EC-49B8-A92E-6C67A9E7AB46}" sibTransId="{FBB8E361-62A6-4211-9A69-D9BCFB3BD56B}"/>
    <dgm:cxn modelId="{B47DAB57-34EC-4E62-8C2C-1FDFBF4A02D1}" type="presOf" srcId="{EBA27591-2CA6-4732-9D21-BECD98B521C5}" destId="{E8D54A5F-20A1-4F5C-BFA0-40BE17BF1BE6}" srcOrd="1" destOrd="1" presId="urn:microsoft.com/office/officeart/2005/8/layout/hProcess4"/>
    <dgm:cxn modelId="{35E1987C-786A-40D7-9D49-18A4A13029A5}" srcId="{BB9C7C9D-B90D-4927-A564-857C9B8A64A6}" destId="{45D2F980-CE00-489F-B567-E63BFFEBC702}" srcOrd="3" destOrd="0" parTransId="{A972586C-45E9-41FB-BDB7-FE321FAD3B1B}" sibTransId="{2E6800A1-2C5C-4BE0-BE04-E4EE23049842}"/>
    <dgm:cxn modelId="{F5CAF97F-0CAE-49BF-B459-5F0882C39A1D}" type="presOf" srcId="{8B64069C-4B5A-4A9A-BB74-11ED13385C59}" destId="{EA04E824-CE3B-4FF4-8DAC-E3D71B92B35B}" srcOrd="0" destOrd="0" presId="urn:microsoft.com/office/officeart/2005/8/layout/hProcess4"/>
    <dgm:cxn modelId="{5362539A-B1F2-4172-BF31-898635ACD7BB}" type="presOf" srcId="{45D2F980-CE00-489F-B567-E63BFFEBC702}" destId="{5723517B-0713-4F79-9834-5F9A99752A28}" srcOrd="1" destOrd="3" presId="urn:microsoft.com/office/officeart/2005/8/layout/hProcess4"/>
    <dgm:cxn modelId="{9F5A8DA5-72CF-487F-930D-EC9D86F74AD2}" type="presOf" srcId="{EBA27591-2CA6-4732-9D21-BECD98B521C5}" destId="{766D598B-451E-4E9B-BB14-FDF3558A3DC4}" srcOrd="0" destOrd="1" presId="urn:microsoft.com/office/officeart/2005/8/layout/hProcess4"/>
    <dgm:cxn modelId="{DEBCECA9-B520-4FCC-AFD4-064DBC784725}" type="presOf" srcId="{BB9C7C9D-B90D-4927-A564-857C9B8A64A6}" destId="{2340D7FF-11D3-42BE-BCC5-7E8BB0EFDA90}" srcOrd="0" destOrd="0" presId="urn:microsoft.com/office/officeart/2005/8/layout/hProcess4"/>
    <dgm:cxn modelId="{B910A1B9-9AC7-45BA-B97B-A386F6F6613F}" type="presOf" srcId="{27F081D1-C251-4A70-A700-5FDD48C52D10}" destId="{486590C0-1BC0-4BCA-9963-9216B1596900}" srcOrd="0" destOrd="1" presId="urn:microsoft.com/office/officeart/2005/8/layout/hProcess4"/>
    <dgm:cxn modelId="{1C8B83C2-2D63-41A9-897E-32D5756D302F}" srcId="{8B64069C-4B5A-4A9A-BB74-11ED13385C59}" destId="{2A05D704-84AC-4F0C-96C9-71EC91D540D4}" srcOrd="2" destOrd="0" parTransId="{D4362923-14FB-403F-AF3E-7B2552970CCA}" sibTransId="{9570E151-C975-4D52-ADD8-460933602289}"/>
    <dgm:cxn modelId="{8A163FC9-044E-4DD9-BDE3-72E8AFFC92E6}" type="presOf" srcId="{B90CE424-FA9C-4BE9-9AC3-24CB71DFFBC3}" destId="{55ACFC82-5524-49E2-8F7F-E08E3F26DFC6}" srcOrd="0" destOrd="0" presId="urn:microsoft.com/office/officeart/2005/8/layout/hProcess4"/>
    <dgm:cxn modelId="{E87233CC-6542-4C9D-9591-B387E1B58399}" type="presOf" srcId="{58FB80D3-BC9C-486D-A9E4-0744DB826899}" destId="{951E10BF-458B-49AC-8C5B-70754B154197}" srcOrd="0" destOrd="4" presId="urn:microsoft.com/office/officeart/2005/8/layout/hProcess4"/>
    <dgm:cxn modelId="{B3FBC4D4-A4FB-4A33-87ED-66A9DB85AD0E}" type="presOf" srcId="{4EE6790F-AFDD-4E49-8639-9145404544C6}" destId="{486590C0-1BC0-4BCA-9963-9216B1596900}" srcOrd="0" destOrd="2" presId="urn:microsoft.com/office/officeart/2005/8/layout/hProcess4"/>
    <dgm:cxn modelId="{CA0360D9-953F-4576-A631-DCECFC6950C2}" type="presOf" srcId="{AD317970-CDC8-4F55-A70F-182DCC532818}" destId="{766D598B-451E-4E9B-BB14-FDF3558A3DC4}" srcOrd="0" destOrd="0" presId="urn:microsoft.com/office/officeart/2005/8/layout/hProcess4"/>
    <dgm:cxn modelId="{81F04FD9-613A-4697-93DE-3DFD75A09951}" srcId="{0245B92C-539E-4A11-9D8D-705195FFFBC2}" destId="{EBA27591-2CA6-4732-9D21-BECD98B521C5}" srcOrd="1" destOrd="0" parTransId="{0875C7B4-3B02-41B9-8447-82601A93A28A}" sibTransId="{3A377165-4F9B-4047-9C9F-3BB4FE37EA7F}"/>
    <dgm:cxn modelId="{886D5FE0-9D40-4BDA-8CFA-E3F06A488465}" type="presOf" srcId="{B2630865-87F2-489B-8047-F220DD61016A}" destId="{4D3044D3-0173-4BEC-A24A-A139009DF82E}" srcOrd="0" destOrd="0" presId="urn:microsoft.com/office/officeart/2005/8/layout/hProcess4"/>
    <dgm:cxn modelId="{EA3083E1-F721-4C70-AB4C-C817DB219944}" srcId="{8B64069C-4B5A-4A9A-BB74-11ED13385C59}" destId="{0245B92C-539E-4A11-9D8D-705195FFFBC2}" srcOrd="1" destOrd="0" parTransId="{908D5B23-0261-445F-8102-5AEB1C9583A1}" sibTransId="{B90CE424-FA9C-4BE9-9AC3-24CB71DFFBC3}"/>
    <dgm:cxn modelId="{126C59E2-3CF8-4754-A914-F2C94B08404E}" type="presOf" srcId="{539FDF51-04B2-4B12-AEF0-5141FEEA3820}" destId="{951E10BF-458B-49AC-8C5B-70754B154197}" srcOrd="0" destOrd="1" presId="urn:microsoft.com/office/officeart/2005/8/layout/hProcess4"/>
    <dgm:cxn modelId="{8CF2F8E2-4126-4A6D-AA04-3D4CEE6EE097}" srcId="{8B64069C-4B5A-4A9A-BB74-11ED13385C59}" destId="{B4ABC1F3-DD0C-4840-BE6D-E94F3C86E153}" srcOrd="0" destOrd="0" parTransId="{2CEFAF10-F7EA-4EB8-8EB1-674C34386D89}" sibTransId="{B2630865-87F2-489B-8047-F220DD61016A}"/>
    <dgm:cxn modelId="{D61BF5E4-A72D-46DA-99B0-29817CCBC4FB}" type="presOf" srcId="{28034907-F0F4-4508-88E3-36189B5D745A}" destId="{AA35620B-806D-4B42-9B15-F2B3F3AE9950}" srcOrd="1" destOrd="2" presId="urn:microsoft.com/office/officeart/2005/8/layout/hProcess4"/>
    <dgm:cxn modelId="{F70835EA-578F-428E-B762-80B20D28350E}" type="presOf" srcId="{B4ABC1F3-DD0C-4840-BE6D-E94F3C86E153}" destId="{E3C88576-F31A-46F4-924B-F846D51BB491}" srcOrd="0" destOrd="0" presId="urn:microsoft.com/office/officeart/2005/8/layout/hProcess4"/>
    <dgm:cxn modelId="{2919A2F2-DEBF-469E-8895-C54BAE0CCFC8}" srcId="{2A05D704-84AC-4F0C-96C9-71EC91D540D4}" destId="{28034907-F0F4-4508-88E3-36189B5D745A}" srcOrd="2" destOrd="0" parTransId="{7C96E50A-4DD3-4024-944B-785BC3153E6A}" sibTransId="{051EFF57-F9F8-45C0-A293-BDDD68C7F527}"/>
    <dgm:cxn modelId="{67337EF5-572D-4224-A453-21F97E1CD4F9}" type="presOf" srcId="{AD247E88-9233-45D3-9BAF-C98E058C4D5A}" destId="{951E10BF-458B-49AC-8C5B-70754B154197}" srcOrd="0" destOrd="0" presId="urn:microsoft.com/office/officeart/2005/8/layout/hProcess4"/>
    <dgm:cxn modelId="{7510A2F5-5BC9-4D99-B784-76DFDFAFE5FE}" type="presOf" srcId="{CB252E2A-FEF1-448F-9B96-349E12BAB1F1}" destId="{951E10BF-458B-49AC-8C5B-70754B154197}" srcOrd="0" destOrd="3" presId="urn:microsoft.com/office/officeart/2005/8/layout/hProcess4"/>
    <dgm:cxn modelId="{B12ED0F5-9D7A-4F31-904B-B3BDB1AAA0A2}" srcId="{2A05D704-84AC-4F0C-96C9-71EC91D540D4}" destId="{58FB80D3-BC9C-486D-A9E4-0744DB826899}" srcOrd="4" destOrd="0" parTransId="{80312C6A-55B2-4F04-AA70-C1E1E4A95EA7}" sibTransId="{9E2CC60D-0925-41E9-BF0A-B52D4E485D67}"/>
    <dgm:cxn modelId="{441EF9F7-C3A0-49C9-88D9-8A71BF505B55}" type="presOf" srcId="{2A05D704-84AC-4F0C-96C9-71EC91D540D4}" destId="{F620E50F-847A-4B77-B983-44CA7B0C6814}" srcOrd="0" destOrd="0" presId="urn:microsoft.com/office/officeart/2005/8/layout/hProcess4"/>
    <dgm:cxn modelId="{0F0070F8-C71C-4876-8517-3C05F314A062}" type="presOf" srcId="{58FB80D3-BC9C-486D-A9E4-0744DB826899}" destId="{AA35620B-806D-4B42-9B15-F2B3F3AE9950}" srcOrd="1" destOrd="4" presId="urn:microsoft.com/office/officeart/2005/8/layout/hProcess4"/>
    <dgm:cxn modelId="{60CC2CFB-00DA-4E00-8DC8-4B8B3AD2D936}" srcId="{2A05D704-84AC-4F0C-96C9-71EC91D540D4}" destId="{CB252E2A-FEF1-448F-9B96-349E12BAB1F1}" srcOrd="3" destOrd="0" parTransId="{D8E31D7E-09A4-498A-8FE2-CC7A65A46148}" sibTransId="{B6852C79-A09F-450D-9DC8-1872C903555C}"/>
    <dgm:cxn modelId="{F2F765DC-7E6C-48FF-9CF4-11B76AB88CF5}" type="presParOf" srcId="{EA04E824-CE3B-4FF4-8DAC-E3D71B92B35B}" destId="{B59E8EE2-3BC0-463E-A7EB-BF842496E195}" srcOrd="0" destOrd="0" presId="urn:microsoft.com/office/officeart/2005/8/layout/hProcess4"/>
    <dgm:cxn modelId="{6D0F36FE-B09D-4EBC-993A-3BC436EA73F9}" type="presParOf" srcId="{EA04E824-CE3B-4FF4-8DAC-E3D71B92B35B}" destId="{51D54CBC-D151-490E-9376-1C09F65411EB}" srcOrd="1" destOrd="0" presId="urn:microsoft.com/office/officeart/2005/8/layout/hProcess4"/>
    <dgm:cxn modelId="{923FE34B-1D32-4D9B-AA2E-53052282D3EC}" type="presParOf" srcId="{EA04E824-CE3B-4FF4-8DAC-E3D71B92B35B}" destId="{C4B908AE-470C-4427-9C1A-702836310265}" srcOrd="2" destOrd="0" presId="urn:microsoft.com/office/officeart/2005/8/layout/hProcess4"/>
    <dgm:cxn modelId="{E59C9B13-93F9-45D8-8155-96797337AC7D}" type="presParOf" srcId="{C4B908AE-470C-4427-9C1A-702836310265}" destId="{C747EDC3-ADE9-43D1-83B1-C88D8490A483}" srcOrd="0" destOrd="0" presId="urn:microsoft.com/office/officeart/2005/8/layout/hProcess4"/>
    <dgm:cxn modelId="{56DCB50F-FB1A-402B-BACC-7C392707816F}" type="presParOf" srcId="{C747EDC3-ADE9-43D1-83B1-C88D8490A483}" destId="{59AE4320-9F67-42B2-A106-BB73C3B356C0}" srcOrd="0" destOrd="0" presId="urn:microsoft.com/office/officeart/2005/8/layout/hProcess4"/>
    <dgm:cxn modelId="{EB6FCF11-C2A3-470F-9D3D-DA6F2C210FBF}" type="presParOf" srcId="{C747EDC3-ADE9-43D1-83B1-C88D8490A483}" destId="{BB70996A-DD95-4A0C-A85D-53339F9BFA00}" srcOrd="1" destOrd="0" presId="urn:microsoft.com/office/officeart/2005/8/layout/hProcess4"/>
    <dgm:cxn modelId="{837B90BD-5D02-4EBE-8C80-32D3AF35566F}" type="presParOf" srcId="{C747EDC3-ADE9-43D1-83B1-C88D8490A483}" destId="{388541D7-EA89-480C-88AB-ADCACAD13156}" srcOrd="2" destOrd="0" presId="urn:microsoft.com/office/officeart/2005/8/layout/hProcess4"/>
    <dgm:cxn modelId="{74B7C1A1-2BAB-439C-9EDC-E9F3B023CF8F}" type="presParOf" srcId="{C747EDC3-ADE9-43D1-83B1-C88D8490A483}" destId="{E3C88576-F31A-46F4-924B-F846D51BB491}" srcOrd="3" destOrd="0" presId="urn:microsoft.com/office/officeart/2005/8/layout/hProcess4"/>
    <dgm:cxn modelId="{4B785C79-9569-43C8-8DB6-31CBC361936A}" type="presParOf" srcId="{C747EDC3-ADE9-43D1-83B1-C88D8490A483}" destId="{71FC4146-5B04-4189-A828-AFBA23CC22B0}" srcOrd="4" destOrd="0" presId="urn:microsoft.com/office/officeart/2005/8/layout/hProcess4"/>
    <dgm:cxn modelId="{50330F0F-5E0D-4BE8-ABDE-D56A617B35FB}" type="presParOf" srcId="{C4B908AE-470C-4427-9C1A-702836310265}" destId="{4D3044D3-0173-4BEC-A24A-A139009DF82E}" srcOrd="1" destOrd="0" presId="urn:microsoft.com/office/officeart/2005/8/layout/hProcess4"/>
    <dgm:cxn modelId="{813087FB-0847-4ECA-8FAA-CF121313F658}" type="presParOf" srcId="{C4B908AE-470C-4427-9C1A-702836310265}" destId="{DD0CF9E4-679C-47EB-8A9E-009A4AB7733A}" srcOrd="2" destOrd="0" presId="urn:microsoft.com/office/officeart/2005/8/layout/hProcess4"/>
    <dgm:cxn modelId="{B54B7C68-EF47-412C-83F0-7A1ABB197E2E}" type="presParOf" srcId="{DD0CF9E4-679C-47EB-8A9E-009A4AB7733A}" destId="{F633BD27-2CD8-4B3B-A07B-1FE35996E2E8}" srcOrd="0" destOrd="0" presId="urn:microsoft.com/office/officeart/2005/8/layout/hProcess4"/>
    <dgm:cxn modelId="{41D7A00A-5CA8-441F-A245-9E5C517506AF}" type="presParOf" srcId="{DD0CF9E4-679C-47EB-8A9E-009A4AB7733A}" destId="{766D598B-451E-4E9B-BB14-FDF3558A3DC4}" srcOrd="1" destOrd="0" presId="urn:microsoft.com/office/officeart/2005/8/layout/hProcess4"/>
    <dgm:cxn modelId="{99B998D6-04CE-4203-A3AC-BAD43904E922}" type="presParOf" srcId="{DD0CF9E4-679C-47EB-8A9E-009A4AB7733A}" destId="{E8D54A5F-20A1-4F5C-BFA0-40BE17BF1BE6}" srcOrd="2" destOrd="0" presId="urn:microsoft.com/office/officeart/2005/8/layout/hProcess4"/>
    <dgm:cxn modelId="{F99774D0-33DE-48EF-9D3E-F29DD9C4EB95}" type="presParOf" srcId="{DD0CF9E4-679C-47EB-8A9E-009A4AB7733A}" destId="{CCB8110E-DE4A-48B4-9E05-322574BAE99B}" srcOrd="3" destOrd="0" presId="urn:microsoft.com/office/officeart/2005/8/layout/hProcess4"/>
    <dgm:cxn modelId="{098FAA92-91D4-4BA2-AC50-A23DF43E6145}" type="presParOf" srcId="{DD0CF9E4-679C-47EB-8A9E-009A4AB7733A}" destId="{B69D0FF2-5B02-41D0-A899-918D860E6AD4}" srcOrd="4" destOrd="0" presId="urn:microsoft.com/office/officeart/2005/8/layout/hProcess4"/>
    <dgm:cxn modelId="{3D188362-4A19-4C78-AD23-DF325106D34C}" type="presParOf" srcId="{C4B908AE-470C-4427-9C1A-702836310265}" destId="{55ACFC82-5524-49E2-8F7F-E08E3F26DFC6}" srcOrd="3" destOrd="0" presId="urn:microsoft.com/office/officeart/2005/8/layout/hProcess4"/>
    <dgm:cxn modelId="{CA672CAA-2494-4D4B-8DC0-B8F32E856B9A}" type="presParOf" srcId="{C4B908AE-470C-4427-9C1A-702836310265}" destId="{C61E0CDC-151C-4446-A1E5-1681B93DDB29}" srcOrd="4" destOrd="0" presId="urn:microsoft.com/office/officeart/2005/8/layout/hProcess4"/>
    <dgm:cxn modelId="{A7BCB1C8-2D5E-439C-B2B2-1722F3765713}" type="presParOf" srcId="{C61E0CDC-151C-4446-A1E5-1681B93DDB29}" destId="{2AC8EEB9-739D-4BCC-8F40-01EB7DFC1C3F}" srcOrd="0" destOrd="0" presId="urn:microsoft.com/office/officeart/2005/8/layout/hProcess4"/>
    <dgm:cxn modelId="{E228D3F9-5CE5-428C-A03E-E475638E0031}" type="presParOf" srcId="{C61E0CDC-151C-4446-A1E5-1681B93DDB29}" destId="{951E10BF-458B-49AC-8C5B-70754B154197}" srcOrd="1" destOrd="0" presId="urn:microsoft.com/office/officeart/2005/8/layout/hProcess4"/>
    <dgm:cxn modelId="{8F976828-964E-4021-9213-C178946FFD06}" type="presParOf" srcId="{C61E0CDC-151C-4446-A1E5-1681B93DDB29}" destId="{AA35620B-806D-4B42-9B15-F2B3F3AE9950}" srcOrd="2" destOrd="0" presId="urn:microsoft.com/office/officeart/2005/8/layout/hProcess4"/>
    <dgm:cxn modelId="{695C6455-9C16-4998-93C1-2DD1B415AED6}" type="presParOf" srcId="{C61E0CDC-151C-4446-A1E5-1681B93DDB29}" destId="{F620E50F-847A-4B77-B983-44CA7B0C6814}" srcOrd="3" destOrd="0" presId="urn:microsoft.com/office/officeart/2005/8/layout/hProcess4"/>
    <dgm:cxn modelId="{3632C3E2-B99D-484A-90E5-328F5E89DB21}" type="presParOf" srcId="{C61E0CDC-151C-4446-A1E5-1681B93DDB29}" destId="{F97AB1C6-A7C5-473A-8C52-8C2075898A1B}" srcOrd="4" destOrd="0" presId="urn:microsoft.com/office/officeart/2005/8/layout/hProcess4"/>
    <dgm:cxn modelId="{E142D24D-66E4-45B8-BA69-3D19C35396CF}" type="presParOf" srcId="{C4B908AE-470C-4427-9C1A-702836310265}" destId="{DC5CE88C-3413-44F9-99A6-007851173B09}" srcOrd="5" destOrd="0" presId="urn:microsoft.com/office/officeart/2005/8/layout/hProcess4"/>
    <dgm:cxn modelId="{F7C0F97B-1FF5-4BE9-A13D-E7ECB264F7DC}" type="presParOf" srcId="{C4B908AE-470C-4427-9C1A-702836310265}" destId="{3D07D987-EB05-4B46-8909-96648EDFACFF}" srcOrd="6" destOrd="0" presId="urn:microsoft.com/office/officeart/2005/8/layout/hProcess4"/>
    <dgm:cxn modelId="{805356A4-C4CD-42E9-B76C-F0BF6AD6BF63}" type="presParOf" srcId="{3D07D987-EB05-4B46-8909-96648EDFACFF}" destId="{97F5D44D-694F-43C1-B167-CBE64776020C}" srcOrd="0" destOrd="0" presId="urn:microsoft.com/office/officeart/2005/8/layout/hProcess4"/>
    <dgm:cxn modelId="{56F41652-F0C8-4DE3-9E8A-371FCABC8C64}" type="presParOf" srcId="{3D07D987-EB05-4B46-8909-96648EDFACFF}" destId="{486590C0-1BC0-4BCA-9963-9216B1596900}" srcOrd="1" destOrd="0" presId="urn:microsoft.com/office/officeart/2005/8/layout/hProcess4"/>
    <dgm:cxn modelId="{B4302E21-4A4C-4E96-8540-5A4016FFA7A9}" type="presParOf" srcId="{3D07D987-EB05-4B46-8909-96648EDFACFF}" destId="{5723517B-0713-4F79-9834-5F9A99752A28}" srcOrd="2" destOrd="0" presId="urn:microsoft.com/office/officeart/2005/8/layout/hProcess4"/>
    <dgm:cxn modelId="{69D6DA30-A51A-415B-8639-D5A081A908C7}" type="presParOf" srcId="{3D07D987-EB05-4B46-8909-96648EDFACFF}" destId="{2340D7FF-11D3-42BE-BCC5-7E8BB0EFDA90}" srcOrd="3" destOrd="0" presId="urn:microsoft.com/office/officeart/2005/8/layout/hProcess4"/>
    <dgm:cxn modelId="{F6E5CE31-3DEC-4E52-A42E-1AD2DA438D18}" type="presParOf" srcId="{3D07D987-EB05-4B46-8909-96648EDFACFF}" destId="{08566102-EFEE-4E64-9F4F-7566E04682CD}" srcOrd="4" destOrd="0" presId="urn:microsoft.com/office/officeart/2005/8/layout/hProcess4"/>
  </dgm:cxnLst>
  <dgm:bg/>
  <dgm:whole>
    <a:ln>
      <a:solidFill>
        <a:schemeClr val="tx1"/>
      </a:solidFill>
    </a:ln>
  </dgm:whole>
  <dgm:extLst>
    <a:ext uri="http://schemas.microsoft.com/office/drawing/2008/diagram">
      <dsp:dataModelExt xmlns:dsp="http://schemas.microsoft.com/office/drawing/2008/diagram" relId="rId17"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BB70996A-DD95-4A0C-A85D-53339F9BFA00}">
      <dsp:nvSpPr>
        <dsp:cNvPr id="0" name=""/>
        <dsp:cNvSpPr/>
      </dsp:nvSpPr>
      <dsp:spPr>
        <a:xfrm flipV="1">
          <a:off x="911165" y="1890947"/>
          <a:ext cx="57497" cy="22947"/>
        </a:xfrm>
        <a:prstGeom prst="roundRect">
          <a:avLst>
            <a:gd name="adj" fmla="val 10000"/>
          </a:avLst>
        </a:prstGeom>
        <a:solidFill>
          <a:schemeClr val="lt1">
            <a:alpha val="90000"/>
            <a:hueOff val="0"/>
            <a:satOff val="0"/>
            <a:lumOff val="0"/>
            <a:alphaOff val="0"/>
          </a:schemeClr>
        </a:solidFill>
        <a:ln w="12700" cap="flat" cmpd="sng" algn="ctr">
          <a:solidFill>
            <a:schemeClr val="accen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sp>
    <dsp:sp modelId="{4D3044D3-0173-4BEC-A24A-A139009DF82E}">
      <dsp:nvSpPr>
        <dsp:cNvPr id="0" name=""/>
        <dsp:cNvSpPr/>
      </dsp:nvSpPr>
      <dsp:spPr>
        <a:xfrm>
          <a:off x="405293" y="1056852"/>
          <a:ext cx="1393314" cy="1393314"/>
        </a:xfrm>
        <a:prstGeom prst="leftCircularArrow">
          <a:avLst>
            <a:gd name="adj1" fmla="val 3500"/>
            <a:gd name="adj2" fmla="val 434219"/>
            <a:gd name="adj3" fmla="val 2209730"/>
            <a:gd name="adj4" fmla="val 9024489"/>
            <a:gd name="adj5" fmla="val 4083"/>
          </a:avLst>
        </a:prstGeom>
        <a:solidFill>
          <a:schemeClr val="accent2">
            <a:tint val="60000"/>
            <a:hueOff val="0"/>
            <a:satOff val="0"/>
            <a:lumOff val="0"/>
            <a:alphaOff val="0"/>
          </a:schemeClr>
        </a:solidFill>
        <a:ln>
          <a:noFill/>
        </a:ln>
        <a:effectLst/>
      </dsp:spPr>
      <dsp:style>
        <a:lnRef idx="0">
          <a:scrgbClr r="0" g="0" b="0"/>
        </a:lnRef>
        <a:fillRef idx="1">
          <a:scrgbClr r="0" g="0" b="0"/>
        </a:fillRef>
        <a:effectRef idx="1">
          <a:scrgbClr r="0" g="0" b="0"/>
        </a:effectRef>
        <a:fontRef idx="minor">
          <a:schemeClr val="lt1"/>
        </a:fontRef>
      </dsp:style>
    </dsp:sp>
    <dsp:sp modelId="{E3C88576-F31A-46F4-924B-F846D51BB491}">
      <dsp:nvSpPr>
        <dsp:cNvPr id="0" name=""/>
        <dsp:cNvSpPr/>
      </dsp:nvSpPr>
      <dsp:spPr>
        <a:xfrm>
          <a:off x="0" y="1640298"/>
          <a:ext cx="1084191" cy="431147"/>
        </a:xfrm>
        <a:prstGeom prst="roundRect">
          <a:avLst>
            <a:gd name="adj" fmla="val 10000"/>
          </a:avLst>
        </a:prstGeom>
        <a:solidFill>
          <a:schemeClr val="accent2">
            <a:hueOff val="0"/>
            <a:satOff val="0"/>
            <a:lumOff val="0"/>
            <a:alphaOff val="0"/>
          </a:schemeClr>
        </a:solidFill>
        <a:ln w="19050" cap="flat" cmpd="sng" algn="ctr">
          <a:solidFill>
            <a:schemeClr val="lt1">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17145" tIns="11430" rIns="17145" bIns="11430" numCol="1" spcCol="1270" anchor="ctr" anchorCtr="0">
          <a:noAutofit/>
        </a:bodyPr>
        <a:lstStyle/>
        <a:p>
          <a:pPr marL="0" lvl="0" indent="0" algn="ctr" defTabSz="400050">
            <a:lnSpc>
              <a:spcPct val="90000"/>
            </a:lnSpc>
            <a:spcBef>
              <a:spcPct val="0"/>
            </a:spcBef>
            <a:spcAft>
              <a:spcPct val="35000"/>
            </a:spcAft>
            <a:buNone/>
          </a:pPr>
          <a:r>
            <a:rPr lang="en-US" sz="900" kern="1200">
              <a:latin typeface="Times New Roman" panose="02020603050405020304" pitchFamily="18" charset="0"/>
              <a:cs typeface="Times New Roman" panose="02020603050405020304" pitchFamily="18" charset="0"/>
            </a:rPr>
            <a:t>Benchmark </a:t>
          </a:r>
          <a:r>
            <a:rPr lang="en-US" sz="900" kern="1200" dirty="0">
              <a:latin typeface="Times New Roman" panose="02020603050405020304" pitchFamily="18" charset="0"/>
              <a:cs typeface="Times New Roman" panose="02020603050405020304" pitchFamily="18" charset="0"/>
            </a:rPr>
            <a:t>Price</a:t>
          </a:r>
        </a:p>
      </dsp:txBody>
      <dsp:txXfrm>
        <a:off x="12628" y="1652926"/>
        <a:ext cx="1058935" cy="405891"/>
      </dsp:txXfrm>
    </dsp:sp>
    <dsp:sp modelId="{766D598B-451E-4E9B-BB14-FDF3558A3DC4}">
      <dsp:nvSpPr>
        <dsp:cNvPr id="0" name=""/>
        <dsp:cNvSpPr/>
      </dsp:nvSpPr>
      <dsp:spPr>
        <a:xfrm>
          <a:off x="1316219" y="849862"/>
          <a:ext cx="1219715" cy="1006010"/>
        </a:xfrm>
        <a:prstGeom prst="roundRect">
          <a:avLst>
            <a:gd name="adj" fmla="val 10000"/>
          </a:avLst>
        </a:prstGeom>
        <a:solidFill>
          <a:schemeClr val="lt1">
            <a:alpha val="90000"/>
            <a:hueOff val="0"/>
            <a:satOff val="0"/>
            <a:lumOff val="0"/>
            <a:alphaOff val="0"/>
          </a:schemeClr>
        </a:solidFill>
        <a:ln w="12700" cap="flat" cmpd="sng" algn="ctr">
          <a:solidFill>
            <a:schemeClr val="accen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5240" tIns="15240" rIns="15240" bIns="15240" numCol="1" spcCol="1270" anchor="t" anchorCtr="0">
          <a:noAutofit/>
        </a:bodyPr>
        <a:lstStyle/>
        <a:p>
          <a:pPr marL="57150" lvl="1" indent="-57150" algn="l" defTabSz="355600">
            <a:lnSpc>
              <a:spcPct val="90000"/>
            </a:lnSpc>
            <a:spcBef>
              <a:spcPct val="0"/>
            </a:spcBef>
            <a:spcAft>
              <a:spcPct val="15000"/>
            </a:spcAft>
            <a:buChar char="•"/>
          </a:pPr>
          <a:r>
            <a:rPr lang="en-US" sz="800" kern="1200" dirty="0">
              <a:latin typeface="Times New Roman" panose="02020603050405020304" pitchFamily="18" charset="0"/>
              <a:cs typeface="Times New Roman" panose="02020603050405020304" pitchFamily="18" charset="0"/>
            </a:rPr>
            <a:t>Official Exchange Rate</a:t>
          </a:r>
        </a:p>
        <a:p>
          <a:pPr marL="57150" lvl="1" indent="-57150" algn="l" defTabSz="355600">
            <a:lnSpc>
              <a:spcPct val="90000"/>
            </a:lnSpc>
            <a:spcBef>
              <a:spcPct val="0"/>
            </a:spcBef>
            <a:spcAft>
              <a:spcPct val="15000"/>
            </a:spcAft>
            <a:buChar char="•"/>
          </a:pPr>
          <a:r>
            <a:rPr lang="en-US" sz="800" kern="1200" dirty="0">
              <a:latin typeface="Times New Roman" panose="02020603050405020304" pitchFamily="18" charset="0"/>
              <a:cs typeface="Times New Roman" panose="02020603050405020304" pitchFamily="18" charset="0"/>
            </a:rPr>
            <a:t>Quantity Adjustment</a:t>
          </a:r>
        </a:p>
        <a:p>
          <a:pPr marL="57150" lvl="1" indent="-57150" algn="l" defTabSz="355600">
            <a:lnSpc>
              <a:spcPct val="90000"/>
            </a:lnSpc>
            <a:spcBef>
              <a:spcPct val="0"/>
            </a:spcBef>
            <a:spcAft>
              <a:spcPct val="15000"/>
            </a:spcAft>
            <a:buChar char="•"/>
          </a:pPr>
          <a:r>
            <a:rPr lang="en-US" sz="800" kern="1200" dirty="0">
              <a:latin typeface="Times New Roman" panose="02020603050405020304" pitchFamily="18" charset="0"/>
              <a:cs typeface="Times New Roman" panose="02020603050405020304" pitchFamily="18" charset="0"/>
            </a:rPr>
            <a:t>Quality Adjustment</a:t>
          </a:r>
        </a:p>
      </dsp:txBody>
      <dsp:txXfrm>
        <a:off x="1339370" y="1088587"/>
        <a:ext cx="1173413" cy="744134"/>
      </dsp:txXfrm>
    </dsp:sp>
    <dsp:sp modelId="{55ACFC82-5524-49E2-8F7F-E08E3F26DFC6}">
      <dsp:nvSpPr>
        <dsp:cNvPr id="0" name=""/>
        <dsp:cNvSpPr/>
      </dsp:nvSpPr>
      <dsp:spPr>
        <a:xfrm>
          <a:off x="1982381" y="216073"/>
          <a:ext cx="1549361" cy="1549361"/>
        </a:xfrm>
        <a:prstGeom prst="circularArrow">
          <a:avLst>
            <a:gd name="adj1" fmla="val 3147"/>
            <a:gd name="adj2" fmla="val 387233"/>
            <a:gd name="adj3" fmla="val 19437256"/>
            <a:gd name="adj4" fmla="val 12575511"/>
            <a:gd name="adj5" fmla="val 3672"/>
          </a:avLst>
        </a:prstGeom>
        <a:solidFill>
          <a:schemeClr val="accent2">
            <a:tint val="60000"/>
            <a:hueOff val="0"/>
            <a:satOff val="0"/>
            <a:lumOff val="0"/>
            <a:alphaOff val="0"/>
          </a:schemeClr>
        </a:solidFill>
        <a:ln>
          <a:noFill/>
        </a:ln>
        <a:effectLst/>
      </dsp:spPr>
      <dsp:style>
        <a:lnRef idx="0">
          <a:scrgbClr r="0" g="0" b="0"/>
        </a:lnRef>
        <a:fillRef idx="1">
          <a:scrgbClr r="0" g="0" b="0"/>
        </a:fillRef>
        <a:effectRef idx="1">
          <a:scrgbClr r="0" g="0" b="0"/>
        </a:effectRef>
        <a:fontRef idx="minor">
          <a:schemeClr val="lt1"/>
        </a:fontRef>
      </dsp:style>
    </dsp:sp>
    <dsp:sp modelId="{CCB8110E-DE4A-48B4-9E05-322574BAE99B}">
      <dsp:nvSpPr>
        <dsp:cNvPr id="0" name=""/>
        <dsp:cNvSpPr/>
      </dsp:nvSpPr>
      <dsp:spPr>
        <a:xfrm>
          <a:off x="1587264" y="634288"/>
          <a:ext cx="1084191" cy="431147"/>
        </a:xfrm>
        <a:prstGeom prst="roundRect">
          <a:avLst>
            <a:gd name="adj" fmla="val 10000"/>
          </a:avLst>
        </a:prstGeom>
        <a:solidFill>
          <a:schemeClr val="accent2">
            <a:hueOff val="0"/>
            <a:satOff val="0"/>
            <a:lumOff val="0"/>
            <a:alphaOff val="0"/>
          </a:schemeClr>
        </a:solidFill>
        <a:ln w="19050" cap="flat" cmpd="sng" algn="ctr">
          <a:solidFill>
            <a:schemeClr val="lt1">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17145" tIns="11430" rIns="17145" bIns="11430" numCol="1" spcCol="1270" anchor="ctr" anchorCtr="0">
          <a:noAutofit/>
        </a:bodyPr>
        <a:lstStyle/>
        <a:p>
          <a:pPr marL="0" lvl="0" indent="0" algn="ctr" defTabSz="400050">
            <a:lnSpc>
              <a:spcPct val="90000"/>
            </a:lnSpc>
            <a:spcBef>
              <a:spcPct val="0"/>
            </a:spcBef>
            <a:spcAft>
              <a:spcPct val="35000"/>
            </a:spcAft>
            <a:buNone/>
          </a:pPr>
          <a:r>
            <a:rPr lang="en-US" sz="900" kern="1200" dirty="0">
              <a:latin typeface="Times New Roman" panose="02020603050405020304" pitchFamily="18" charset="0"/>
              <a:cs typeface="Times New Roman" panose="02020603050405020304" pitchFamily="18" charset="0"/>
            </a:rPr>
            <a:t>Reference Price</a:t>
          </a:r>
        </a:p>
      </dsp:txBody>
      <dsp:txXfrm>
        <a:off x="1599892" y="646916"/>
        <a:ext cx="1058935" cy="405891"/>
      </dsp:txXfrm>
    </dsp:sp>
    <dsp:sp modelId="{951E10BF-458B-49AC-8C5B-70754B154197}">
      <dsp:nvSpPr>
        <dsp:cNvPr id="0" name=""/>
        <dsp:cNvSpPr/>
      </dsp:nvSpPr>
      <dsp:spPr>
        <a:xfrm>
          <a:off x="2903653" y="849862"/>
          <a:ext cx="1219715" cy="1006010"/>
        </a:xfrm>
        <a:prstGeom prst="roundRect">
          <a:avLst>
            <a:gd name="adj" fmla="val 10000"/>
          </a:avLst>
        </a:prstGeom>
        <a:solidFill>
          <a:schemeClr val="lt1">
            <a:alpha val="90000"/>
            <a:hueOff val="0"/>
            <a:satOff val="0"/>
            <a:lumOff val="0"/>
            <a:alphaOff val="0"/>
          </a:schemeClr>
        </a:solidFill>
        <a:ln w="12700" cap="flat" cmpd="sng" algn="ctr">
          <a:solidFill>
            <a:schemeClr val="accen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5240" tIns="15240" rIns="15240" bIns="15240" numCol="1" spcCol="1270" anchor="t" anchorCtr="0">
          <a:noAutofit/>
        </a:bodyPr>
        <a:lstStyle/>
        <a:p>
          <a:pPr marL="57150" lvl="1" indent="-57150" algn="l" defTabSz="355600">
            <a:lnSpc>
              <a:spcPct val="90000"/>
            </a:lnSpc>
            <a:spcBef>
              <a:spcPct val="0"/>
            </a:spcBef>
            <a:spcAft>
              <a:spcPct val="15000"/>
            </a:spcAft>
            <a:buChar char="•"/>
          </a:pPr>
          <a:r>
            <a:rPr lang="en-US" sz="800" kern="1200" dirty="0">
              <a:latin typeface="Times New Roman" panose="02020603050405020304" pitchFamily="18" charset="0"/>
              <a:cs typeface="Times New Roman" panose="02020603050405020304" pitchFamily="18" charset="0"/>
            </a:rPr>
            <a:t>Quantity Adjustment</a:t>
          </a:r>
        </a:p>
        <a:p>
          <a:pPr marL="57150" lvl="1" indent="-57150" algn="l" defTabSz="355600">
            <a:lnSpc>
              <a:spcPct val="90000"/>
            </a:lnSpc>
            <a:spcBef>
              <a:spcPct val="0"/>
            </a:spcBef>
            <a:spcAft>
              <a:spcPct val="15000"/>
            </a:spcAft>
            <a:buChar char="•"/>
          </a:pPr>
          <a:r>
            <a:rPr lang="en-US" sz="800" kern="1200" dirty="0">
              <a:latin typeface="Times New Roman" panose="02020603050405020304" pitchFamily="18" charset="0"/>
              <a:cs typeface="Times New Roman" panose="02020603050405020304" pitchFamily="18" charset="0"/>
            </a:rPr>
            <a:t>Quality Adjustment</a:t>
          </a:r>
        </a:p>
        <a:p>
          <a:pPr marL="57150" lvl="1" indent="-57150" algn="l" defTabSz="355600">
            <a:lnSpc>
              <a:spcPct val="90000"/>
            </a:lnSpc>
            <a:spcBef>
              <a:spcPct val="0"/>
            </a:spcBef>
            <a:spcAft>
              <a:spcPct val="15000"/>
            </a:spcAft>
            <a:buChar char="•"/>
          </a:pPr>
          <a:r>
            <a:rPr lang="en-US" sz="800" kern="1200" dirty="0">
              <a:latin typeface="Times New Roman" panose="02020603050405020304" pitchFamily="18" charset="0"/>
              <a:cs typeface="Times New Roman" panose="02020603050405020304" pitchFamily="18" charset="0"/>
            </a:rPr>
            <a:t>Processing Margins</a:t>
          </a:r>
        </a:p>
        <a:p>
          <a:pPr marL="57150" lvl="1" indent="-57150" algn="l" defTabSz="355600">
            <a:lnSpc>
              <a:spcPct val="90000"/>
            </a:lnSpc>
            <a:spcBef>
              <a:spcPct val="0"/>
            </a:spcBef>
            <a:spcAft>
              <a:spcPct val="15000"/>
            </a:spcAft>
            <a:buChar char="•"/>
          </a:pPr>
          <a:r>
            <a:rPr lang="en-US" sz="800" kern="1200" dirty="0">
              <a:latin typeface="Times New Roman" panose="02020603050405020304" pitchFamily="18" charset="0"/>
              <a:cs typeface="Times New Roman" panose="02020603050405020304" pitchFamily="18" charset="0"/>
            </a:rPr>
            <a:t>Transportation Margins</a:t>
          </a:r>
        </a:p>
        <a:p>
          <a:pPr marL="57150" lvl="1" indent="-57150" algn="l" defTabSz="355600">
            <a:lnSpc>
              <a:spcPct val="90000"/>
            </a:lnSpc>
            <a:spcBef>
              <a:spcPct val="0"/>
            </a:spcBef>
            <a:spcAft>
              <a:spcPct val="15000"/>
            </a:spcAft>
            <a:buChar char="•"/>
          </a:pPr>
          <a:r>
            <a:rPr lang="en-US" sz="800" kern="1200" dirty="0">
              <a:latin typeface="Times New Roman" panose="02020603050405020304" pitchFamily="18" charset="0"/>
              <a:cs typeface="Times New Roman" panose="02020603050405020304" pitchFamily="18" charset="0"/>
            </a:rPr>
            <a:t>Other Costs</a:t>
          </a:r>
        </a:p>
      </dsp:txBody>
      <dsp:txXfrm>
        <a:off x="2926804" y="873013"/>
        <a:ext cx="1173413" cy="744134"/>
      </dsp:txXfrm>
    </dsp:sp>
    <dsp:sp modelId="{DC5CE88C-3413-44F9-99A6-007851173B09}">
      <dsp:nvSpPr>
        <dsp:cNvPr id="0" name=""/>
        <dsp:cNvSpPr/>
      </dsp:nvSpPr>
      <dsp:spPr>
        <a:xfrm>
          <a:off x="3559541" y="822636"/>
          <a:ext cx="1706894" cy="1706894"/>
        </a:xfrm>
        <a:prstGeom prst="leftCircularArrow">
          <a:avLst>
            <a:gd name="adj1" fmla="val 2857"/>
            <a:gd name="adj2" fmla="val 349102"/>
            <a:gd name="adj3" fmla="val 2124613"/>
            <a:gd name="adj4" fmla="val 9024489"/>
            <a:gd name="adj5" fmla="val 3333"/>
          </a:avLst>
        </a:prstGeom>
        <a:solidFill>
          <a:schemeClr val="accent2">
            <a:tint val="60000"/>
            <a:hueOff val="0"/>
            <a:satOff val="0"/>
            <a:lumOff val="0"/>
            <a:alphaOff val="0"/>
          </a:schemeClr>
        </a:solidFill>
        <a:ln>
          <a:noFill/>
        </a:ln>
        <a:effectLst/>
      </dsp:spPr>
      <dsp:style>
        <a:lnRef idx="0">
          <a:scrgbClr r="0" g="0" b="0"/>
        </a:lnRef>
        <a:fillRef idx="1">
          <a:scrgbClr r="0" g="0" b="0"/>
        </a:fillRef>
        <a:effectRef idx="1">
          <a:scrgbClr r="0" g="0" b="0"/>
        </a:effectRef>
        <a:fontRef idx="minor">
          <a:schemeClr val="lt1"/>
        </a:fontRef>
      </dsp:style>
    </dsp:sp>
    <dsp:sp modelId="{F620E50F-847A-4B77-B983-44CA7B0C6814}">
      <dsp:nvSpPr>
        <dsp:cNvPr id="0" name=""/>
        <dsp:cNvSpPr/>
      </dsp:nvSpPr>
      <dsp:spPr>
        <a:xfrm>
          <a:off x="3174698" y="1640298"/>
          <a:ext cx="1084191" cy="431147"/>
        </a:xfrm>
        <a:prstGeom prst="roundRect">
          <a:avLst>
            <a:gd name="adj" fmla="val 10000"/>
          </a:avLst>
        </a:prstGeom>
        <a:solidFill>
          <a:schemeClr val="accent2">
            <a:hueOff val="0"/>
            <a:satOff val="0"/>
            <a:lumOff val="0"/>
            <a:alphaOff val="0"/>
          </a:schemeClr>
        </a:solidFill>
        <a:ln w="19050" cap="flat" cmpd="sng" algn="ctr">
          <a:solidFill>
            <a:schemeClr val="lt1">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17145" tIns="11430" rIns="17145" bIns="11430" numCol="1" spcCol="1270" anchor="ctr" anchorCtr="0">
          <a:noAutofit/>
        </a:bodyPr>
        <a:lstStyle/>
        <a:p>
          <a:pPr marL="0" lvl="0" indent="0" algn="ctr" defTabSz="400050">
            <a:lnSpc>
              <a:spcPct val="90000"/>
            </a:lnSpc>
            <a:spcBef>
              <a:spcPct val="0"/>
            </a:spcBef>
            <a:spcAft>
              <a:spcPct val="35000"/>
            </a:spcAft>
            <a:buNone/>
          </a:pPr>
          <a:r>
            <a:rPr lang="en-US" sz="900" kern="1200" dirty="0">
              <a:latin typeface="Times New Roman" panose="02020603050405020304" pitchFamily="18" charset="0"/>
              <a:cs typeface="Times New Roman" panose="02020603050405020304" pitchFamily="18" charset="0"/>
            </a:rPr>
            <a:t>Reference Price at Point of Competition</a:t>
          </a:r>
        </a:p>
      </dsp:txBody>
      <dsp:txXfrm>
        <a:off x="3187326" y="1652926"/>
        <a:ext cx="1058935" cy="405891"/>
      </dsp:txXfrm>
    </dsp:sp>
    <dsp:sp modelId="{486590C0-1BC0-4BCA-9963-9216B1596900}">
      <dsp:nvSpPr>
        <dsp:cNvPr id="0" name=""/>
        <dsp:cNvSpPr/>
      </dsp:nvSpPr>
      <dsp:spPr>
        <a:xfrm>
          <a:off x="4763596" y="849862"/>
          <a:ext cx="1219715" cy="1006010"/>
        </a:xfrm>
        <a:prstGeom prst="roundRect">
          <a:avLst>
            <a:gd name="adj" fmla="val 10000"/>
          </a:avLst>
        </a:prstGeom>
        <a:solidFill>
          <a:schemeClr val="lt1">
            <a:alpha val="90000"/>
            <a:hueOff val="0"/>
            <a:satOff val="0"/>
            <a:lumOff val="0"/>
            <a:alphaOff val="0"/>
          </a:schemeClr>
        </a:solidFill>
        <a:ln w="12700" cap="flat" cmpd="sng" algn="ctr">
          <a:solidFill>
            <a:schemeClr val="accen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5240" tIns="15240" rIns="15240" bIns="15240" numCol="1" spcCol="1270" anchor="t" anchorCtr="0">
          <a:noAutofit/>
        </a:bodyPr>
        <a:lstStyle/>
        <a:p>
          <a:pPr marL="57150" lvl="1" indent="-57150" algn="l" defTabSz="355600">
            <a:lnSpc>
              <a:spcPct val="90000"/>
            </a:lnSpc>
            <a:spcBef>
              <a:spcPct val="0"/>
            </a:spcBef>
            <a:spcAft>
              <a:spcPct val="15000"/>
            </a:spcAft>
            <a:buChar char="•"/>
          </a:pPr>
          <a:r>
            <a:rPr lang="en-US" sz="800" kern="1200" dirty="0">
              <a:latin typeface="Times New Roman" panose="02020603050405020304" pitchFamily="18" charset="0"/>
              <a:cs typeface="Times New Roman" panose="02020603050405020304" pitchFamily="18" charset="0"/>
            </a:rPr>
            <a:t>Processing Margins</a:t>
          </a:r>
        </a:p>
        <a:p>
          <a:pPr marL="57150" lvl="1" indent="-57150" algn="l" defTabSz="355600">
            <a:lnSpc>
              <a:spcPct val="90000"/>
            </a:lnSpc>
            <a:spcBef>
              <a:spcPct val="0"/>
            </a:spcBef>
            <a:spcAft>
              <a:spcPct val="15000"/>
            </a:spcAft>
            <a:buChar char="•"/>
          </a:pPr>
          <a:r>
            <a:rPr lang="en-US" sz="800" kern="1200" dirty="0">
              <a:latin typeface="Times New Roman" panose="02020603050405020304" pitchFamily="18" charset="0"/>
              <a:cs typeface="Times New Roman" panose="02020603050405020304" pitchFamily="18" charset="0"/>
            </a:rPr>
            <a:t>Transportation Margins</a:t>
          </a:r>
        </a:p>
        <a:p>
          <a:pPr marL="57150" lvl="1" indent="-57150" algn="l" defTabSz="355600">
            <a:lnSpc>
              <a:spcPct val="90000"/>
            </a:lnSpc>
            <a:spcBef>
              <a:spcPct val="0"/>
            </a:spcBef>
            <a:spcAft>
              <a:spcPct val="15000"/>
            </a:spcAft>
            <a:buChar char="•"/>
          </a:pPr>
          <a:r>
            <a:rPr lang="en-US" sz="800" kern="1200" dirty="0">
              <a:latin typeface="Times New Roman" panose="02020603050405020304" pitchFamily="18" charset="0"/>
              <a:cs typeface="Times New Roman" panose="02020603050405020304" pitchFamily="18" charset="0"/>
            </a:rPr>
            <a:t>Other Costs</a:t>
          </a:r>
        </a:p>
        <a:p>
          <a:pPr marL="57150" lvl="1" indent="-57150" algn="l" defTabSz="355600">
            <a:lnSpc>
              <a:spcPct val="90000"/>
            </a:lnSpc>
            <a:spcBef>
              <a:spcPct val="0"/>
            </a:spcBef>
            <a:spcAft>
              <a:spcPct val="15000"/>
            </a:spcAft>
            <a:buChar char="•"/>
          </a:pPr>
          <a:r>
            <a:rPr lang="en-US" sz="800" kern="1200" dirty="0">
              <a:latin typeface="Times New Roman" panose="02020603050405020304" pitchFamily="18" charset="0"/>
              <a:cs typeface="Times New Roman" panose="02020603050405020304" pitchFamily="18" charset="0"/>
            </a:rPr>
            <a:t>Quantity Adjustment</a:t>
          </a:r>
        </a:p>
        <a:p>
          <a:pPr marL="57150" lvl="1" indent="-57150" algn="l" defTabSz="355600">
            <a:lnSpc>
              <a:spcPct val="90000"/>
            </a:lnSpc>
            <a:spcBef>
              <a:spcPct val="0"/>
            </a:spcBef>
            <a:spcAft>
              <a:spcPct val="15000"/>
            </a:spcAft>
            <a:buChar char="•"/>
          </a:pPr>
          <a:r>
            <a:rPr lang="en-US" sz="800" kern="1200" dirty="0">
              <a:latin typeface="Times New Roman" panose="02020603050405020304" pitchFamily="18" charset="0"/>
              <a:cs typeface="Times New Roman" panose="02020603050405020304" pitchFamily="18" charset="0"/>
            </a:rPr>
            <a:t>Quality Adjustment</a:t>
          </a:r>
        </a:p>
      </dsp:txBody>
      <dsp:txXfrm>
        <a:off x="4786747" y="1088587"/>
        <a:ext cx="1173413" cy="744134"/>
      </dsp:txXfrm>
    </dsp:sp>
    <dsp:sp modelId="{2340D7FF-11D3-42BE-BCC5-7E8BB0EFDA90}">
      <dsp:nvSpPr>
        <dsp:cNvPr id="0" name=""/>
        <dsp:cNvSpPr/>
      </dsp:nvSpPr>
      <dsp:spPr>
        <a:xfrm>
          <a:off x="5034643" y="634288"/>
          <a:ext cx="1084191" cy="431147"/>
        </a:xfrm>
        <a:prstGeom prst="roundRect">
          <a:avLst>
            <a:gd name="adj" fmla="val 10000"/>
          </a:avLst>
        </a:prstGeom>
        <a:solidFill>
          <a:schemeClr val="accent2">
            <a:hueOff val="0"/>
            <a:satOff val="0"/>
            <a:lumOff val="0"/>
            <a:alphaOff val="0"/>
          </a:schemeClr>
        </a:solidFill>
        <a:ln w="19050" cap="flat" cmpd="sng" algn="ctr">
          <a:solidFill>
            <a:schemeClr val="lt1">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17145" tIns="11430" rIns="17145" bIns="11430" numCol="1" spcCol="1270" anchor="ctr" anchorCtr="0">
          <a:noAutofit/>
        </a:bodyPr>
        <a:lstStyle/>
        <a:p>
          <a:pPr marL="0" lvl="0" indent="0" algn="ctr" defTabSz="400050">
            <a:lnSpc>
              <a:spcPct val="90000"/>
            </a:lnSpc>
            <a:spcBef>
              <a:spcPct val="0"/>
            </a:spcBef>
            <a:spcAft>
              <a:spcPct val="35000"/>
            </a:spcAft>
            <a:buNone/>
          </a:pPr>
          <a:r>
            <a:rPr lang="en-US" sz="900" kern="1200" dirty="0">
              <a:latin typeface="Times New Roman" panose="02020603050405020304" pitchFamily="18" charset="0"/>
              <a:cs typeface="Times New Roman" panose="02020603050405020304" pitchFamily="18" charset="0"/>
            </a:rPr>
            <a:t>Reference Price at </a:t>
          </a:r>
          <a:r>
            <a:rPr lang="en-US" sz="900" kern="1200" dirty="0" err="1">
              <a:latin typeface="Times New Roman" panose="02020603050405020304" pitchFamily="18" charset="0"/>
              <a:cs typeface="Times New Roman" panose="02020603050405020304" pitchFamily="18" charset="0"/>
            </a:rPr>
            <a:t>Farmgate</a:t>
          </a:r>
          <a:endParaRPr lang="en-US" sz="900" kern="1200" dirty="0">
            <a:latin typeface="Times New Roman" panose="02020603050405020304" pitchFamily="18" charset="0"/>
            <a:cs typeface="Times New Roman" panose="02020603050405020304" pitchFamily="18" charset="0"/>
          </a:endParaRPr>
        </a:p>
      </dsp:txBody>
      <dsp:txXfrm>
        <a:off x="5047271" y="646916"/>
        <a:ext cx="1058935" cy="405891"/>
      </dsp:txXfrm>
    </dsp:sp>
  </dsp:spTree>
</dsp:drawing>
</file>

<file path=word/diagrams/layout1.xml><?xml version="1.0" encoding="utf-8"?>
<dgm:layoutDef xmlns:dgm="http://schemas.openxmlformats.org/drawingml/2006/diagram" xmlns:a="http://schemas.openxmlformats.org/drawingml/2006/main" uniqueId="urn:microsoft.com/office/officeart/2005/8/layout/hProcess4">
  <dgm:title val=""/>
  <dgm:desc val=""/>
  <dgm:catLst>
    <dgm:cat type="process" pri="4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animLvl val="lvl"/>
      <dgm:resizeHandles val="exact"/>
    </dgm:varLst>
    <dgm:alg type="composite"/>
    <dgm:shape xmlns:r="http://schemas.openxmlformats.org/officeDocument/2006/relationships" r:blip="">
      <dgm:adjLst/>
    </dgm:shape>
    <dgm:presOf/>
    <dgm:constrLst>
      <dgm:constr type="w" for="ch" forName="tSp" refType="w"/>
      <dgm:constr type="h" for="ch" forName="tSp" refType="h" fact="0.15"/>
      <dgm:constr type="l" for="ch" forName="tSp"/>
      <dgm:constr type="t" for="ch" forName="tSp"/>
      <dgm:constr type="w" for="ch" forName="bSp" refType="w"/>
      <dgm:constr type="h" for="ch" forName="bSp" refType="h" fact="0.15"/>
      <dgm:constr type="l" for="ch" forName="bSp"/>
      <dgm:constr type="t" for="ch" forName="bSp" refType="h" fact="0.85"/>
      <dgm:constr type="w" for="ch" forName="process" refType="w"/>
      <dgm:constr type="h" for="ch" forName="process" refType="h" fact="0.7"/>
      <dgm:constr type="l" for="ch" forName="process"/>
      <dgm:constr type="t" for="ch" forName="process" refType="h" fact="0.15"/>
    </dgm:constrLst>
    <dgm:ruleLst/>
    <dgm:layoutNode name="tSp">
      <dgm:alg type="sp"/>
      <dgm:shape xmlns:r="http://schemas.openxmlformats.org/officeDocument/2006/relationships" r:blip="">
        <dgm:adjLst/>
      </dgm:shape>
      <dgm:presOf/>
      <dgm:constrLst/>
      <dgm:ruleLst/>
    </dgm:layoutNode>
    <dgm:layoutNode name="bSp">
      <dgm:alg type="sp"/>
      <dgm:shape xmlns:r="http://schemas.openxmlformats.org/officeDocument/2006/relationships" r:blip="">
        <dgm:adjLst/>
      </dgm:shape>
      <dgm:presOf/>
      <dgm:constrLst/>
      <dgm:ruleLst/>
    </dgm:layoutNode>
    <dgm:layoutNode name="process">
      <dgm:choose name="Name1">
        <dgm:if name="Name2" func="var" arg="dir" op="equ" val="norm">
          <dgm:alg type="lin">
            <dgm:param type="linDir" val="fromL"/>
          </dgm:alg>
        </dgm:if>
        <dgm:else name="Name3">
          <dgm:alg type="lin">
            <dgm:param type="linDir" val="fromR"/>
          </dgm:alg>
        </dgm:else>
      </dgm:choose>
      <dgm:shape xmlns:r="http://schemas.openxmlformats.org/officeDocument/2006/relationships" r:blip="">
        <dgm:adjLst/>
      </dgm:shape>
      <dgm:presOf/>
      <dgm:constrLst>
        <dgm:constr type="w" for="ch" forName="composite1" refType="w"/>
        <dgm:constr type="w" for="ch" forName="composite2" refType="w" refFor="ch" refForName="composite1" op="equ"/>
        <dgm:constr type="h" for="ch" forName="composite1" refType="h"/>
        <dgm:constr type="h" for="ch" forName="composite2" refType="h" refFor="ch" refForName="composite1" op="equ"/>
        <dgm:constr type="primFontSz" for="des" forName="parentNode1" val="65"/>
        <dgm:constr type="primFontSz" for="des" forName="parentNode2" refType="primFontSz" refFor="des" refForName="parentNode1" op="equ"/>
        <dgm:constr type="secFontSz" for="des" forName="childNode1tx" val="65"/>
        <dgm:constr type="secFontSz" for="des" forName="childNode2tx" refType="secFontSz" refFor="des" refForName="childNode1tx" op="equ"/>
        <dgm:constr type="w" for="des" ptType="sibTrans" refType="w" refFor="ch" refForName="composite1" op="equ" fact="0.05"/>
      </dgm:constrLst>
      <dgm:ruleLst/>
      <dgm:forEach name="Name4" axis="ch" ptType="node" step="2">
        <dgm:layoutNode name="composite1">
          <dgm:alg type="composite">
            <dgm:param type="ar" val="0.943"/>
          </dgm:alg>
          <dgm:shape xmlns:r="http://schemas.openxmlformats.org/officeDocument/2006/relationships" r:blip="">
            <dgm:adjLst/>
          </dgm:shape>
          <dgm:presOf/>
          <dgm:choose name="Name5">
            <dgm:if name="Name6" func="var" arg="dir" op="equ" val="norm">
              <dgm:constrLst>
                <dgm:constr type="h" refType="w" fact="1.06"/>
                <dgm:constr type="w" for="ch" forName="dummyNode1" refType="w"/>
                <dgm:constr type="h" for="ch" forName="dummyNode1" refType="h"/>
                <dgm:constr type="t" for="ch" forName="dummyNode1"/>
                <dgm:constr type="l" for="ch" forName="dummyNode1"/>
                <dgm:constr type="w" for="ch" forName="childNode1" refType="w" fact="0.9"/>
                <dgm:constr type="h" for="ch" forName="childNode1" refType="h" fact="0.7"/>
                <dgm:constr type="t" for="ch" forName="childNode1" refType="h" fact="0.15"/>
                <dgm:constr type="l" for="ch" forName="childNode1"/>
                <dgm:constr type="w" for="ch" forName="childNode1tx" refType="w" fact="0.9"/>
                <dgm:constr type="h" for="ch" forName="childNode1tx" refType="h" fact="0.55"/>
                <dgm:constr type="t" for="ch" forName="childNode1tx" refType="h" fact="0.15"/>
                <dgm:constr type="l" for="ch" forName="childNode1tx"/>
                <dgm:constr type="w" for="ch" forName="parentNode1" refType="w" fact="0.8"/>
                <dgm:constr type="h" for="ch" forName="parentNode1" refType="h" fact="0.3"/>
                <dgm:constr type="t" for="ch" forName="parentNode1" refType="h" fact="0.7"/>
                <dgm:constr type="l" for="ch" forName="parentNode1" refType="w" fact="0.2"/>
                <dgm:constr type="w" for="ch" forName="connSite1" refType="w" fact="0.01"/>
                <dgm:constr type="h" for="ch" forName="connSite1" refType="h" fact="0.01"/>
                <dgm:constr type="t" for="ch" forName="connSite1"/>
                <dgm:constr type="l" for="ch" forName="connSite1" refType="w" fact="0.35"/>
              </dgm:constrLst>
            </dgm:if>
            <dgm:else name="Name7">
              <dgm:constrLst>
                <dgm:constr type="h" refType="w" fact="1.06"/>
                <dgm:constr type="w" for="ch" forName="dummyNode1" refType="w"/>
                <dgm:constr type="h" for="ch" forName="dummyNode1" refType="h"/>
                <dgm:constr type="t" for="ch" forName="dummyNode1"/>
                <dgm:constr type="l" for="ch" forName="dummyNode1"/>
                <dgm:constr type="w" for="ch" forName="childNode1" refType="w" fact="0.9"/>
                <dgm:constr type="h" for="ch" forName="childNode1" refType="h" fact="0.7"/>
                <dgm:constr type="t" for="ch" forName="childNode1" refType="h" fact="0.15"/>
                <dgm:constr type="l" for="ch" forName="childNode1" refType="w" fact="0.1"/>
                <dgm:constr type="w" for="ch" forName="childNode1tx" refType="w" fact="0.9"/>
                <dgm:constr type="h" for="ch" forName="childNode1tx" refType="h" fact="0.55"/>
                <dgm:constr type="t" for="ch" forName="childNode1tx" refType="h" fact="0.15"/>
                <dgm:constr type="l" for="ch" forName="childNode1tx" refType="w" fact="0.1"/>
                <dgm:constr type="w" for="ch" forName="parentNode1" refType="w" fact="0.8"/>
                <dgm:constr type="h" for="ch" forName="parentNode1" refType="h" fact="0.3"/>
                <dgm:constr type="t" for="ch" forName="parentNode1" refType="h" fact="0.7"/>
                <dgm:constr type="l" for="ch" forName="parentNode1"/>
                <dgm:constr type="w" for="ch" forName="connSite1" refType="w" fact="0.01"/>
                <dgm:constr type="h" for="ch" forName="connSite1" refType="h" fact="0.01"/>
                <dgm:constr type="t" for="ch" forName="connSite1"/>
                <dgm:constr type="l" for="ch" forName="connSite1" refType="w" fact="0.65"/>
              </dgm:constrLst>
            </dgm:else>
          </dgm:choose>
          <dgm:ruleLst/>
          <dgm:layoutNode name="dummyNode1">
            <dgm:alg type="sp"/>
            <dgm:shape xmlns:r="http://schemas.openxmlformats.org/officeDocument/2006/relationships" type="rect" r:blip="" hideGeom="1">
              <dgm:adjLst/>
            </dgm:shape>
            <dgm:presOf/>
            <dgm:constrLst/>
            <dgm:ruleLst/>
          </dgm:layoutNode>
          <dgm:layoutNode name="childNode1" styleLbl="bgAcc1">
            <dgm:varLst>
              <dgm:bulletEnabled val="1"/>
            </dgm:varLst>
            <dgm:alg type="sp"/>
            <dgm:shape xmlns:r="http://schemas.openxmlformats.org/officeDocument/2006/relationships" type="roundRect" r:blip="">
              <dgm:adjLst>
                <dgm:adj idx="1" val="0.1"/>
              </dgm:adjLst>
            </dgm:shape>
            <dgm:presOf axis="des" ptType="node"/>
            <dgm:constrLst/>
            <dgm:ruleLst/>
          </dgm:layoutNode>
          <dgm:layoutNode name="childNode1tx" styleLbl="bgAcc1">
            <dgm:varLst>
              <dgm:bulletEnabled val="1"/>
            </dgm:varLst>
            <dgm:alg type="tx">
              <dgm:param type="stBulletLvl" val="1"/>
            </dgm:alg>
            <dgm:shape xmlns:r="http://schemas.openxmlformats.org/officeDocument/2006/relationships" type="roundRect" r:blip="" hideGeom="1">
              <dgm:adjLst>
                <dgm:adj idx="1" val="0.1"/>
              </dgm:adjLst>
            </dgm:shape>
            <dgm:presOf axis="des" ptType="node"/>
            <dgm:constrLst>
              <dgm:constr type="secFontSz" val="65"/>
              <dgm:constr type="primFontSz" refType="secFontSz"/>
              <dgm:constr type="tMarg" refType="secFontSz" fact="0.15"/>
              <dgm:constr type="bMarg" refType="secFontSz" fact="0.15"/>
              <dgm:constr type="lMarg" refType="secFontSz" fact="0.15"/>
              <dgm:constr type="rMarg" refType="secFontSz" fact="0.15"/>
            </dgm:constrLst>
            <dgm:ruleLst>
              <dgm:rule type="secFontSz" val="5" fact="NaN" max="NaN"/>
            </dgm:ruleLst>
          </dgm:layoutNode>
          <dgm:layoutNode name="parentNode1" styleLbl="node1">
            <dgm:varLst>
              <dgm:chMax val="1"/>
              <dgm:bulletEnabled val="1"/>
            </dgm:varLst>
            <dgm:alg type="tx"/>
            <dgm:shape xmlns:r="http://schemas.openxmlformats.org/officeDocument/2006/relationships" type="roundRect" r:blip="">
              <dgm:adjLst>
                <dgm:adj idx="1" val="0.1"/>
              </dgm:adjLst>
            </dgm:shape>
            <dgm:presOf axis="self"/>
            <dgm:constrLst>
              <dgm:constr type="tMarg" refType="primFontSz" fact="0.1"/>
              <dgm:constr type="bMarg" refType="primFontSz" fact="0.1"/>
              <dgm:constr type="lMarg" refType="primFontSz" fact="0.15"/>
              <dgm:constr type="rMarg" refType="primFontSz" fact="0.15"/>
            </dgm:constrLst>
            <dgm:ruleLst>
              <dgm:rule type="primFontSz" val="5" fact="NaN" max="NaN"/>
            </dgm:ruleLst>
          </dgm:layoutNode>
          <dgm:layoutNode name="connSite1" moveWith="childNode1">
            <dgm:alg type="sp"/>
            <dgm:shape xmlns:r="http://schemas.openxmlformats.org/officeDocument/2006/relationships" r:blip="">
              <dgm:adjLst/>
            </dgm:shape>
            <dgm:presOf/>
            <dgm:constrLst/>
            <dgm:ruleLst/>
          </dgm:layoutNode>
        </dgm:layoutNode>
        <dgm:forEach name="Name8" axis="followSib" ptType="sibTrans" cnt="1">
          <dgm:layoutNode name="Name9">
            <dgm:alg type="conn">
              <dgm:param type="connRout" val="curve"/>
              <dgm:param type="srcNode" val="parentNode1"/>
              <dgm:param type="dstNode" val="connSite2"/>
              <dgm:param type="begPts" val="bCtr"/>
              <dgm:param type="endPts" val="bCtr"/>
            </dgm:alg>
            <dgm:shape xmlns:r="http://schemas.openxmlformats.org/officeDocument/2006/relationships" type="conn" r:blip="" zOrderOff="-2">
              <dgm:adjLst/>
            </dgm:shape>
            <dgm:presOf axis="self"/>
            <dgm:choose name="Name10">
              <dgm:if name="Name11" func="var" arg="dir" op="equ" val="norm">
                <dgm:constrLst>
                  <dgm:constr type="h" refType="w" fact="0.35"/>
                  <dgm:constr type="wArH" refType="h"/>
                  <dgm:constr type="hArH" refType="h"/>
                  <dgm:constr type="connDist"/>
                  <dgm:constr type="diam" refType="connDist" fact="-1.15"/>
                  <dgm:constr type="begPad"/>
                  <dgm:constr type="endPad"/>
                </dgm:constrLst>
              </dgm:if>
              <dgm:else name="Name12">
                <dgm:constrLst>
                  <dgm:constr type="h" refType="w" fact="0.35"/>
                  <dgm:constr type="wArH" refType="h"/>
                  <dgm:constr type="hArH" refType="h"/>
                  <dgm:constr type="connDist"/>
                  <dgm:constr type="diam" refType="connDist" fact="1.15"/>
                  <dgm:constr type="begPad"/>
                  <dgm:constr type="endPad"/>
                </dgm:constrLst>
              </dgm:else>
            </dgm:choose>
            <dgm:ruleLst/>
          </dgm:layoutNode>
        </dgm:forEach>
        <dgm:forEach name="Name13" axis="followSib" ptType="node" cnt="1">
          <dgm:layoutNode name="composite2">
            <dgm:alg type="composite">
              <dgm:param type="ar" val="0.943"/>
            </dgm:alg>
            <dgm:shape xmlns:r="http://schemas.openxmlformats.org/officeDocument/2006/relationships" r:blip="">
              <dgm:adjLst/>
            </dgm:shape>
            <dgm:presOf/>
            <dgm:choose name="Name14">
              <dgm:if name="Name15" func="var" arg="dir" op="equ" val="norm">
                <dgm:constrLst>
                  <dgm:constr type="h" refType="w" fact="1.06"/>
                  <dgm:constr type="w" for="ch" forName="dummyNode2" refType="w"/>
                  <dgm:constr type="h" for="ch" forName="dummyNode2" refType="h"/>
                  <dgm:constr type="t" for="ch" forName="dummyNode2"/>
                  <dgm:constr type="l" for="ch" forName="dummyNode2"/>
                  <dgm:constr type="w" for="ch" forName="childNode2" refType="w" fact="0.9"/>
                  <dgm:constr type="h" for="ch" forName="childNode2" refType="h" fact="0.7"/>
                  <dgm:constr type="t" for="ch" forName="childNode2" refType="h" fact="0.15"/>
                  <dgm:constr type="l" for="ch" forName="childNode2"/>
                  <dgm:constr type="w" for="ch" forName="childNode2tx" refType="w" fact="0.9"/>
                  <dgm:constr type="h" for="ch" forName="childNode2tx" refType="h" fact="0.55"/>
                  <dgm:constr type="t" for="ch" forName="childNode2tx" refType="h" fact="0.3"/>
                  <dgm:constr type="l" for="ch" forName="childNode2tx"/>
                  <dgm:constr type="w" for="ch" forName="parentNode2" refType="w" fact="0.8"/>
                  <dgm:constr type="h" for="ch" forName="parentNode2" refType="h" fact="0.3"/>
                  <dgm:constr type="t" for="ch" forName="parentNode2"/>
                  <dgm:constr type="l" for="ch" forName="parentNode2" refType="w" fact="0.2"/>
                  <dgm:constr type="w" for="ch" forName="connSite2" refType="w" fact="0.01"/>
                  <dgm:constr type="h" for="ch" forName="connSite2" refType="h" fact="0.01"/>
                  <dgm:constr type="t" for="ch" forName="connSite2" refType="h" fact="0.99"/>
                  <dgm:constr type="l" for="ch" forName="connSite2" refType="w" fact="0.25"/>
                </dgm:constrLst>
              </dgm:if>
              <dgm:else name="Name16">
                <dgm:constrLst>
                  <dgm:constr type="h" refType="w" fact="1.06"/>
                  <dgm:constr type="w" for="ch" forName="dummyNode2" refType="w"/>
                  <dgm:constr type="h" for="ch" forName="dummyNode2" refType="h"/>
                  <dgm:constr type="t" for="ch" forName="dummyNode2"/>
                  <dgm:constr type="l" for="ch" forName="dummyNode2"/>
                  <dgm:constr type="w" for="ch" forName="childNode2" refType="w" fact="0.9"/>
                  <dgm:constr type="h" for="ch" forName="childNode2" refType="h" fact="0.7"/>
                  <dgm:constr type="t" for="ch" forName="childNode2" refType="h" fact="0.15"/>
                  <dgm:constr type="l" for="ch" forName="childNode2" refType="w" fact="0.1"/>
                  <dgm:constr type="w" for="ch" forName="childNode2tx" refType="w" fact="0.9"/>
                  <dgm:constr type="h" for="ch" forName="childNode2tx" refType="h" fact="0.55"/>
                  <dgm:constr type="t" for="ch" forName="childNode2tx" refType="h" fact="0.3"/>
                  <dgm:constr type="l" for="ch" forName="childNode2tx" refType="w" fact="0.1"/>
                  <dgm:constr type="w" for="ch" forName="parentNode2" refType="w" fact="0.8"/>
                  <dgm:constr type="h" for="ch" forName="parentNode2" refType="h" fact="0.3"/>
                  <dgm:constr type="t" for="ch" forName="parentNode2"/>
                  <dgm:constr type="l" for="ch" forName="parentNode2"/>
                  <dgm:constr type="w" for="ch" forName="connSite2" refType="w" fact="0.01"/>
                  <dgm:constr type="h" for="ch" forName="connSite2" refType="h" fact="0.01"/>
                  <dgm:constr type="t" for="ch" forName="connSite2" refType="h" fact="0.99"/>
                  <dgm:constr type="l" for="ch" forName="connSite2" refType="w" fact="0.85"/>
                </dgm:constrLst>
              </dgm:else>
            </dgm:choose>
            <dgm:ruleLst/>
            <dgm:layoutNode name="dummyNode2">
              <dgm:alg type="sp"/>
              <dgm:shape xmlns:r="http://schemas.openxmlformats.org/officeDocument/2006/relationships" type="rect" r:blip="" hideGeom="1">
                <dgm:adjLst/>
              </dgm:shape>
              <dgm:presOf/>
              <dgm:constrLst/>
              <dgm:ruleLst/>
            </dgm:layoutNode>
            <dgm:layoutNode name="childNode2" styleLbl="bgAcc1">
              <dgm:varLst>
                <dgm:bulletEnabled val="1"/>
              </dgm:varLst>
              <dgm:alg type="sp"/>
              <dgm:shape xmlns:r="http://schemas.openxmlformats.org/officeDocument/2006/relationships" type="roundRect" r:blip="">
                <dgm:adjLst>
                  <dgm:adj idx="1" val="0.1"/>
                </dgm:adjLst>
              </dgm:shape>
              <dgm:presOf axis="des" ptType="node"/>
              <dgm:constrLst/>
              <dgm:ruleLst/>
            </dgm:layoutNode>
            <dgm:layoutNode name="childNode2tx" styleLbl="bgAcc1">
              <dgm:varLst>
                <dgm:bulletEnabled val="1"/>
              </dgm:varLst>
              <dgm:alg type="tx">
                <dgm:param type="stBulletLvl" val="1"/>
              </dgm:alg>
              <dgm:shape xmlns:r="http://schemas.openxmlformats.org/officeDocument/2006/relationships" type="roundRect" r:blip="" hideGeom="1">
                <dgm:adjLst>
                  <dgm:adj idx="1" val="0.1"/>
                </dgm:adjLst>
              </dgm:shape>
              <dgm:presOf axis="des" ptType="node"/>
              <dgm:constrLst>
                <dgm:constr type="secFontSz" val="65"/>
                <dgm:constr type="primFontSz" refType="secFontSz"/>
                <dgm:constr type="tMarg" refType="secFontSz" fact="0.15"/>
                <dgm:constr type="bMarg" refType="secFontSz" fact="0.15"/>
                <dgm:constr type="lMarg" refType="secFontSz" fact="0.15"/>
                <dgm:constr type="rMarg" refType="secFontSz" fact="0.15"/>
              </dgm:constrLst>
              <dgm:ruleLst>
                <dgm:rule type="secFontSz" val="5" fact="NaN" max="NaN"/>
              </dgm:ruleLst>
            </dgm:layoutNode>
            <dgm:layoutNode name="parentNode2" styleLbl="node1">
              <dgm:varLst>
                <dgm:chMax val="0"/>
                <dgm:bulletEnabled val="1"/>
              </dgm:varLst>
              <dgm:alg type="tx"/>
              <dgm:shape xmlns:r="http://schemas.openxmlformats.org/officeDocument/2006/relationships" type="roundRect" r:blip="">
                <dgm:adjLst>
                  <dgm:adj idx="1" val="0.1"/>
                </dgm:adjLst>
              </dgm:shape>
              <dgm:presOf axis="self"/>
              <dgm:constrLst>
                <dgm:constr type="tMarg" refType="primFontSz" fact="0.1"/>
                <dgm:constr type="bMarg" refType="primFontSz" fact="0.1"/>
                <dgm:constr type="lMarg" refType="primFontSz" fact="0.15"/>
                <dgm:constr type="rMarg" refType="primFontSz" fact="0.15"/>
              </dgm:constrLst>
              <dgm:ruleLst>
                <dgm:rule type="primFontSz" val="5" fact="NaN" max="NaN"/>
              </dgm:ruleLst>
            </dgm:layoutNode>
            <dgm:layoutNode name="connSite2" moveWith="childNode2">
              <dgm:alg type="sp"/>
              <dgm:shape xmlns:r="http://schemas.openxmlformats.org/officeDocument/2006/relationships" r:blip="">
                <dgm:adjLst/>
              </dgm:shape>
              <dgm:presOf/>
              <dgm:constrLst/>
              <dgm:ruleLst/>
            </dgm:layoutNode>
          </dgm:layoutNode>
          <dgm:forEach name="Name17" axis="followSib" ptType="sibTrans" cnt="1">
            <dgm:layoutNode name="Name18">
              <dgm:alg type="conn">
                <dgm:param type="connRout" val="curve"/>
                <dgm:param type="srcNode" val="parentNode2"/>
                <dgm:param type="dstNode" val="connSite1"/>
                <dgm:param type="begPts" val="tCtr"/>
                <dgm:param type="endPts" val="tCtr"/>
              </dgm:alg>
              <dgm:shape xmlns:r="http://schemas.openxmlformats.org/officeDocument/2006/relationships" type="conn" r:blip="" zOrderOff="-2">
                <dgm:adjLst/>
              </dgm:shape>
              <dgm:presOf axis="self"/>
              <dgm:choose name="Name19">
                <dgm:if name="Name20" func="var" arg="dir" op="equ" val="norm">
                  <dgm:constrLst>
                    <dgm:constr type="h" refType="w" fact="0.35"/>
                    <dgm:constr type="wArH" refType="h"/>
                    <dgm:constr type="hArH" refType="h"/>
                    <dgm:constr type="connDist"/>
                    <dgm:constr type="diam" refType="connDist" fact="1.15"/>
                    <dgm:constr type="begPad"/>
                    <dgm:constr type="endPad"/>
                  </dgm:constrLst>
                </dgm:if>
                <dgm:else name="Name21">
                  <dgm:constrLst>
                    <dgm:constr type="h" refType="w" fact="0.35"/>
                    <dgm:constr type="wArH" refType="h"/>
                    <dgm:constr type="hArH" refType="h"/>
                    <dgm:constr type="connDist"/>
                    <dgm:constr type="diam" refType="connDist" fact="-1.15"/>
                    <dgm:constr type="begPad"/>
                    <dgm:constr type="endPad"/>
                  </dgm:constrLst>
                </dgm:else>
              </dgm:choose>
              <dgm:ruleLst/>
            </dgm:layoutNode>
          </dgm:forEach>
        </dgm:forEach>
      </dgm:forEach>
    </dgm:layoutNode>
  </dgm:layoutNode>
</dgm:layoutDef>
</file>

<file path=word/diagrams/quickStyle1.xml><?xml version="1.0" encoding="utf-8"?>
<dgm:styleDef xmlns:dgm="http://schemas.openxmlformats.org/drawingml/2006/diagram" xmlns:a="http://schemas.openxmlformats.org/drawingml/2006/main" uniqueId="urn:microsoft.com/office/officeart/2005/8/quickstyle/simple2">
  <dgm:title val=""/>
  <dgm:desc val=""/>
  <dgm:catLst>
    <dgm:cat type="simple" pri="10200"/>
  </dgm:catLst>
  <dgm:scene3d>
    <a:camera prst="orthographicFront"/>
    <a:lightRig rig="threePt" dir="t"/>
  </dgm:scene3d>
  <dgm:styleLbl name="node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ln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vennNode1">
    <dgm:scene3d>
      <a:camera prst="orthographicFront"/>
      <a:lightRig rig="threePt" dir="t"/>
    </dgm:scene3d>
    <dgm:sp3d/>
    <dgm:txPr/>
    <dgm:style>
      <a:lnRef idx="3">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1">
        <a:scrgbClr r="0" g="0" b="0"/>
      </a:effectRef>
      <a:fontRef idx="minor">
        <a:schemeClr val="lt1"/>
      </a:fontRef>
    </dgm:style>
  </dgm:styleLbl>
  <dgm:styleLbl name="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f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707895-1176-4322-88AF-179F88A541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18</Pages>
  <Words>4782</Words>
  <Characters>27262</Characters>
  <Application>Microsoft Office Word</Application>
  <DocSecurity>0</DocSecurity>
  <Lines>227</Lines>
  <Paragraphs>63</Paragraphs>
  <ScaleCrop>false</ScaleCrop>
  <HeadingPairs>
    <vt:vector size="6" baseType="variant">
      <vt:variant>
        <vt:lpstr>Title</vt:lpstr>
      </vt:variant>
      <vt:variant>
        <vt:i4>1</vt:i4>
      </vt:variant>
      <vt:variant>
        <vt:lpstr>Titolo</vt:lpstr>
      </vt:variant>
      <vt:variant>
        <vt:i4>1</vt:i4>
      </vt:variant>
      <vt:variant>
        <vt:lpstr>Título</vt:lpstr>
      </vt:variant>
      <vt:variant>
        <vt:i4>1</vt:i4>
      </vt:variant>
    </vt:vector>
  </HeadingPairs>
  <TitlesOfParts>
    <vt:vector size="3" baseType="lpstr">
      <vt:lpstr>Title of the Paper</vt:lpstr>
      <vt:lpstr>Title of the Paper</vt:lpstr>
      <vt:lpstr>Title of the Paper</vt:lpstr>
    </vt:vector>
  </TitlesOfParts>
  <Company>FAO of the UN</Company>
  <LinksUpToDate>false</LinksUpToDate>
  <CharactersWithSpaces>31981</CharactersWithSpaces>
  <SharedDoc>false</SharedDoc>
  <HLinks>
    <vt:vector size="24" baseType="variant">
      <vt:variant>
        <vt:i4>3080230</vt:i4>
      </vt:variant>
      <vt:variant>
        <vt:i4>9</vt:i4>
      </vt:variant>
      <vt:variant>
        <vt:i4>0</vt:i4>
      </vt:variant>
      <vt:variant>
        <vt:i4>5</vt:i4>
      </vt:variant>
      <vt:variant>
        <vt:lpwstr>http://www.unctad.org/</vt:lpwstr>
      </vt:variant>
      <vt:variant>
        <vt:lpwstr/>
      </vt:variant>
      <vt:variant>
        <vt:i4>7995433</vt:i4>
      </vt:variant>
      <vt:variant>
        <vt:i4>6</vt:i4>
      </vt:variant>
      <vt:variant>
        <vt:i4>0</vt:i4>
      </vt:variant>
      <vt:variant>
        <vt:i4>5</vt:i4>
      </vt:variant>
      <vt:variant>
        <vt:lpwstr>http://www.wits.worldbank.org/</vt:lpwstr>
      </vt:variant>
      <vt:variant>
        <vt:lpwstr/>
      </vt:variant>
      <vt:variant>
        <vt:i4>1376259</vt:i4>
      </vt:variant>
      <vt:variant>
        <vt:i4>3</vt:i4>
      </vt:variant>
      <vt:variant>
        <vt:i4>0</vt:i4>
      </vt:variant>
      <vt:variant>
        <vt:i4>5</vt:i4>
      </vt:variant>
      <vt:variant>
        <vt:lpwstr>http://www.ag-incentives.org/</vt:lpwstr>
      </vt:variant>
      <vt:variant>
        <vt:lpwstr/>
      </vt:variant>
      <vt:variant>
        <vt:i4>1376259</vt:i4>
      </vt:variant>
      <vt:variant>
        <vt:i4>0</vt:i4>
      </vt:variant>
      <vt:variant>
        <vt:i4>0</vt:i4>
      </vt:variant>
      <vt:variant>
        <vt:i4>5</vt:i4>
      </vt:variant>
      <vt:variant>
        <vt:lpwstr>http://www.ag-incentives.org/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of the Paper</dc:title>
  <dc:subject/>
  <dc:creator>elena grimaccia</dc:creator>
  <cp:keywords/>
  <dc:description/>
  <cp:lastModifiedBy>Mamun, Abdullah (IFPRI)</cp:lastModifiedBy>
  <cp:revision>2</cp:revision>
  <cp:lastPrinted>2016-04-11T19:18:00Z</cp:lastPrinted>
  <dcterms:created xsi:type="dcterms:W3CDTF">2023-04-27T15:17:00Z</dcterms:created>
  <dcterms:modified xsi:type="dcterms:W3CDTF">2023-04-27T15:17:00Z</dcterms:modified>
</cp:coreProperties>
</file>